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Pr="00632C22" w:rsidRDefault="00C03E6A" w:rsidP="00C03E6A">
      <w:pPr>
        <w:spacing w:line="360" w:lineRule="auto"/>
        <w:jc w:val="center"/>
        <w:rPr>
          <w:rFonts w:ascii="宋体" w:hAnsi="宋体"/>
          <w:b/>
          <w:bCs/>
          <w:sz w:val="32"/>
          <w:szCs w:val="32"/>
        </w:rPr>
      </w:pPr>
      <w:r w:rsidRPr="00AB67C0">
        <w:rPr>
          <w:rFonts w:ascii="宋体" w:hAnsi="宋体" w:cs="宋体" w:hint="eastAsia"/>
          <w:b/>
          <w:bCs/>
          <w:sz w:val="32"/>
          <w:szCs w:val="32"/>
        </w:rPr>
        <w:t>新昌农商银行</w:t>
      </w:r>
      <w:r w:rsidRPr="00632C22">
        <w:rPr>
          <w:rFonts w:ascii="宋体" w:hAnsi="宋体" w:cs="宋体" w:hint="eastAsia"/>
          <w:b/>
          <w:bCs/>
          <w:sz w:val="32"/>
          <w:szCs w:val="32"/>
        </w:rPr>
        <w:t>“</w:t>
      </w:r>
      <w:r w:rsidR="00BB2884">
        <w:rPr>
          <w:rFonts w:ascii="宋体" w:hAnsi="宋体" w:hint="eastAsia"/>
          <w:b/>
          <w:sz w:val="32"/>
          <w:szCs w:val="32"/>
        </w:rPr>
        <w:t>丰收信福4号</w:t>
      </w:r>
      <w:r w:rsidRPr="00632C22">
        <w:rPr>
          <w:rFonts w:ascii="宋体" w:hAnsi="宋体" w:hint="eastAsia"/>
          <w:b/>
          <w:sz w:val="32"/>
          <w:szCs w:val="32"/>
        </w:rPr>
        <w:t>”</w:t>
      </w:r>
      <w:r w:rsidR="005D197E">
        <w:rPr>
          <w:rFonts w:ascii="宋体" w:hAnsi="宋体" w:hint="eastAsia"/>
          <w:b/>
          <w:sz w:val="32"/>
          <w:szCs w:val="32"/>
        </w:rPr>
        <w:t>2021</w:t>
      </w:r>
      <w:r w:rsidRPr="00632C22">
        <w:rPr>
          <w:rFonts w:ascii="宋体" w:hAnsi="宋体" w:hint="eastAsia"/>
          <w:b/>
          <w:sz w:val="32"/>
          <w:szCs w:val="32"/>
        </w:rPr>
        <w:t>年</w:t>
      </w:r>
      <w:r w:rsidR="000F0C2A" w:rsidRPr="00632C22">
        <w:rPr>
          <w:rFonts w:ascii="宋体" w:hAnsi="宋体" w:hint="eastAsia"/>
          <w:b/>
          <w:sz w:val="32"/>
          <w:szCs w:val="32"/>
        </w:rPr>
        <w:t>第</w:t>
      </w:r>
      <w:r w:rsidR="00AA43E0">
        <w:rPr>
          <w:rFonts w:ascii="宋体" w:hAnsi="宋体" w:hint="eastAsia"/>
          <w:b/>
          <w:sz w:val="32"/>
          <w:szCs w:val="32"/>
        </w:rPr>
        <w:t>8</w:t>
      </w:r>
      <w:r w:rsidRPr="00632C22">
        <w:rPr>
          <w:rFonts w:ascii="宋体" w:hAnsi="宋体" w:hint="eastAsia"/>
          <w:b/>
          <w:sz w:val="32"/>
          <w:szCs w:val="32"/>
        </w:rPr>
        <w:t>期</w:t>
      </w:r>
      <w:r w:rsidRPr="00632C22">
        <w:rPr>
          <w:rFonts w:ascii="宋体" w:hAnsi="宋体" w:cs="宋体" w:hint="eastAsia"/>
          <w:b/>
          <w:bCs/>
          <w:sz w:val="32"/>
          <w:szCs w:val="32"/>
        </w:rPr>
        <w:t>人民币理财产品说明书</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1. 本产品不等同于银行存款和预期收益型理财产品。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632C22">
        <w:rPr>
          <w:rFonts w:ascii="宋体" w:hAnsi="宋体" w:cs="宋体" w:hint="eastAsia"/>
          <w:b/>
          <w:color w:val="auto"/>
          <w:sz w:val="21"/>
          <w:szCs w:val="21"/>
        </w:rPr>
        <w:t>。</w:t>
      </w:r>
      <w:r w:rsidRPr="00632C22">
        <w:rPr>
          <w:rFonts w:ascii="宋体" w:hAnsi="宋体" w:hint="eastAsia"/>
          <w:b/>
          <w:bCs/>
          <w:color w:val="auto"/>
          <w:sz w:val="21"/>
          <w:szCs w:val="21"/>
        </w:rPr>
        <w:t>《新昌农商银行“</w:t>
      </w:r>
      <w:r w:rsidR="00BB2884">
        <w:rPr>
          <w:rFonts w:ascii="宋体" w:hAnsi="宋体" w:hint="eastAsia"/>
          <w:b/>
          <w:bCs/>
          <w:color w:val="auto"/>
          <w:sz w:val="21"/>
          <w:szCs w:val="21"/>
        </w:rPr>
        <w:t>丰收信福4号</w:t>
      </w:r>
      <w:r w:rsidRPr="00632C22">
        <w:rPr>
          <w:rFonts w:ascii="宋体" w:hAnsi="宋体" w:hint="eastAsia"/>
          <w:b/>
          <w:bCs/>
          <w:color w:val="auto"/>
          <w:sz w:val="21"/>
          <w:szCs w:val="21"/>
        </w:rPr>
        <w:t>”人民币理财产品风险揭示书》、《新昌农商银行“</w:t>
      </w:r>
      <w:r w:rsidR="00BB2884">
        <w:rPr>
          <w:rFonts w:ascii="宋体" w:hAnsi="宋体" w:hint="eastAsia"/>
          <w:b/>
          <w:bCs/>
          <w:color w:val="auto"/>
          <w:sz w:val="21"/>
          <w:szCs w:val="21"/>
        </w:rPr>
        <w:t>丰收信福4号</w:t>
      </w:r>
      <w:r w:rsidRPr="00632C22">
        <w:rPr>
          <w:rFonts w:ascii="宋体" w:hAnsi="宋体" w:hint="eastAsia"/>
          <w:b/>
          <w:bCs/>
          <w:color w:val="auto"/>
          <w:sz w:val="21"/>
          <w:szCs w:val="21"/>
        </w:rPr>
        <w:t>”人民币理财产品客户权益须知》、《新昌农商银行“</w:t>
      </w:r>
      <w:r w:rsidR="00BB2884">
        <w:rPr>
          <w:rFonts w:ascii="宋体" w:hAnsi="宋体" w:hint="eastAsia"/>
          <w:b/>
          <w:bCs/>
          <w:color w:val="auto"/>
          <w:sz w:val="21"/>
          <w:szCs w:val="21"/>
        </w:rPr>
        <w:t>丰收信福4号</w:t>
      </w:r>
      <w:r w:rsidRPr="00632C22">
        <w:rPr>
          <w:rFonts w:ascii="宋体" w:hAnsi="宋体" w:hint="eastAsia"/>
          <w:b/>
          <w:bCs/>
          <w:color w:val="auto"/>
          <w:sz w:val="21"/>
          <w:szCs w:val="21"/>
        </w:rPr>
        <w:t>”</w:t>
      </w:r>
      <w:r w:rsidR="005D197E">
        <w:rPr>
          <w:rFonts w:ascii="宋体" w:hAnsi="宋体" w:hint="eastAsia"/>
          <w:b/>
          <w:bCs/>
          <w:color w:val="auto"/>
          <w:sz w:val="21"/>
          <w:szCs w:val="21"/>
        </w:rPr>
        <w:t>2021</w:t>
      </w:r>
      <w:r w:rsidRPr="00632C22">
        <w:rPr>
          <w:rFonts w:ascii="宋体" w:hAnsi="宋体" w:hint="eastAsia"/>
          <w:b/>
          <w:bCs/>
          <w:color w:val="auto"/>
          <w:sz w:val="21"/>
          <w:szCs w:val="21"/>
        </w:rPr>
        <w:t>年</w:t>
      </w:r>
      <w:r w:rsidR="00803B7C" w:rsidRPr="00632C22">
        <w:rPr>
          <w:rFonts w:ascii="宋体" w:hAnsi="宋体" w:hint="eastAsia"/>
          <w:b/>
          <w:bCs/>
          <w:color w:val="auto"/>
          <w:sz w:val="21"/>
          <w:szCs w:val="21"/>
        </w:rPr>
        <w:t>第</w:t>
      </w:r>
      <w:r w:rsidR="00AA43E0">
        <w:rPr>
          <w:rFonts w:ascii="宋体" w:hAnsi="宋体" w:hint="eastAsia"/>
          <w:b/>
          <w:bCs/>
          <w:color w:val="auto"/>
          <w:sz w:val="21"/>
          <w:szCs w:val="21"/>
        </w:rPr>
        <w:t>8</w:t>
      </w:r>
      <w:r w:rsidR="00803B7C" w:rsidRPr="00632C22">
        <w:rPr>
          <w:rFonts w:ascii="宋体" w:hAnsi="宋体" w:hint="eastAsia"/>
          <w:b/>
          <w:bCs/>
          <w:color w:val="auto"/>
          <w:sz w:val="21"/>
          <w:szCs w:val="21"/>
        </w:rPr>
        <w:t>期</w:t>
      </w:r>
      <w:r w:rsidRPr="00632C22">
        <w:rPr>
          <w:rFonts w:ascii="宋体" w:hAnsi="宋体" w:hint="eastAsia"/>
          <w:b/>
          <w:bCs/>
          <w:color w:val="auto"/>
          <w:sz w:val="21"/>
          <w:szCs w:val="21"/>
        </w:rPr>
        <w:t>人民币理财产品说明书》、《新昌农商行“</w:t>
      </w:r>
      <w:r w:rsidR="00BB2884">
        <w:rPr>
          <w:rFonts w:ascii="宋体" w:hAnsi="宋体" w:hint="eastAsia"/>
          <w:b/>
          <w:bCs/>
          <w:color w:val="auto"/>
          <w:sz w:val="21"/>
          <w:szCs w:val="21"/>
        </w:rPr>
        <w:t>丰收信福4号</w:t>
      </w:r>
      <w:r w:rsidRPr="00632C22">
        <w:rPr>
          <w:rFonts w:ascii="宋体" w:hAnsi="宋体" w:hint="eastAsia"/>
          <w:b/>
          <w:bCs/>
          <w:color w:val="auto"/>
          <w:sz w:val="21"/>
          <w:szCs w:val="21"/>
        </w:rPr>
        <w:t>”人民币理财产品协议书》</w:t>
      </w:r>
      <w:r w:rsidRPr="00AB67C0">
        <w:rPr>
          <w:rFonts w:ascii="宋体" w:hAnsi="宋体" w:hint="eastAsia"/>
          <w:b/>
          <w:bCs/>
          <w:color w:val="auto"/>
          <w:sz w:val="21"/>
          <w:szCs w:val="21"/>
        </w:rPr>
        <w:t>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释义</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本说明书中，除非另有明确说明，否则下列词语或简称具有如下含义：</w:t>
      </w:r>
    </w:p>
    <w:p w:rsidR="00C03E6A" w:rsidRPr="00632C22" w:rsidRDefault="00C03E6A" w:rsidP="00C03E6A">
      <w:pPr>
        <w:pStyle w:val="Default"/>
        <w:adjustRightInd/>
        <w:spacing w:line="360" w:lineRule="auto"/>
        <w:ind w:firstLineChars="200" w:firstLine="420"/>
        <w:rPr>
          <w:rFonts w:ascii="宋体" w:hAnsi="宋体" w:cs="Times New Roman"/>
          <w:color w:val="auto"/>
          <w:sz w:val="21"/>
          <w:szCs w:val="21"/>
        </w:rPr>
      </w:pPr>
      <w:r w:rsidRPr="00AB67C0">
        <w:rPr>
          <w:rFonts w:ascii="宋体" w:hAnsi="宋体" w:cs="宋体" w:hint="eastAsia"/>
          <w:sz w:val="21"/>
          <w:szCs w:val="21"/>
        </w:rPr>
        <w:t>产品/理</w:t>
      </w:r>
      <w:r w:rsidRPr="00632C22">
        <w:rPr>
          <w:rFonts w:ascii="宋体" w:hAnsi="宋体" w:cs="宋体" w:hint="eastAsia"/>
          <w:color w:val="auto"/>
          <w:sz w:val="21"/>
          <w:szCs w:val="21"/>
        </w:rPr>
        <w:t>财计划：指新昌农商银行“</w:t>
      </w:r>
      <w:r w:rsidR="00BB2884">
        <w:rPr>
          <w:rFonts w:ascii="宋体" w:hAnsi="宋体" w:cs="宋体" w:hint="eastAsia"/>
          <w:color w:val="auto"/>
          <w:sz w:val="21"/>
          <w:szCs w:val="21"/>
        </w:rPr>
        <w:t>丰收信福4号</w:t>
      </w:r>
      <w:r w:rsidRPr="00632C22">
        <w:rPr>
          <w:rFonts w:ascii="宋体" w:hAnsi="宋体" w:cs="宋体" w:hint="eastAsia"/>
          <w:color w:val="auto"/>
          <w:sz w:val="21"/>
          <w:szCs w:val="21"/>
        </w:rPr>
        <w:t>”人民币理财产品。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发行银行：指浙江新昌农村商业银行股份有限公司。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销售银行：指浙江新昌农村商业银行股份有限公司。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lastRenderedPageBreak/>
        <w:t>产品管理人：指浙江新昌农村商业银行股份有限公司。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产品托管人：指招商银行股份有限公司杭州分行。</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理财产品认购期：是指银行接受客户认购本理财产品的起止期限。</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工作日：除双休日和国家法定假日外的法定工作日。</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投资周期：本理财产品投资周期是指产品成立日（含）至产品到期日（不含）之间的时间。</w:t>
      </w:r>
    </w:p>
    <w:p w:rsidR="00C03E6A" w:rsidRPr="00AB67C0" w:rsidRDefault="00C03E6A" w:rsidP="00C03E6A">
      <w:pPr>
        <w:pStyle w:val="a6"/>
        <w:numPr>
          <w:ilvl w:val="0"/>
          <w:numId w:val="1"/>
        </w:numPr>
        <w:spacing w:before="0" w:after="0" w:line="360" w:lineRule="auto"/>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p w:rsidR="00C03E6A" w:rsidRPr="00AB67C0" w:rsidRDefault="00C03E6A" w:rsidP="00C03E6A">
      <w:pPr>
        <w:pStyle w:val="Default"/>
        <w:spacing w:line="360" w:lineRule="auto"/>
        <w:rPr>
          <w:rFonts w:ascii="宋体" w:hAnsi="宋体" w:cs="Times New Roman"/>
          <w:sz w:val="22"/>
          <w:szCs w:val="22"/>
        </w:rPr>
      </w:pPr>
      <w:r>
        <w:rPr>
          <w:rFonts w:ascii="宋体" w:hAnsi="宋体" w:cs="Times New Roman"/>
          <w:b/>
          <w:bCs/>
          <w:noProof/>
          <w:sz w:val="18"/>
          <w:szCs w:val="18"/>
        </w:rPr>
        <mc:AlternateContent>
          <mc:Choice Requires="wpg">
            <w:drawing>
              <wp:inline distT="0" distB="0" distL="0" distR="0" wp14:anchorId="3863B29E" wp14:editId="63C82CE4">
                <wp:extent cx="5829300" cy="2674620"/>
                <wp:effectExtent l="0" t="0" r="0" b="0"/>
                <wp:docPr id="1"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2674620"/>
                          <a:chOff x="0" y="0"/>
                          <a:chExt cx="6929" cy="3159"/>
                        </a:xfrm>
                      </wpg:grpSpPr>
                      <wps:wsp>
                        <wps:cNvPr id="2" name="Picture 3"/>
                        <wps:cNvSpPr>
                          <a:spLocks noChangeAspect="1" noChangeArrowheads="1" noTextEdit="1"/>
                        </wps:cNvSpPr>
                        <wps:spPr bwMode="auto">
                          <a:xfrm>
                            <a:off x="0" y="0"/>
                            <a:ext cx="6929" cy="3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Line 4"/>
                        <wps:cNvCnPr/>
                        <wps:spPr bwMode="auto">
                          <a:xfrm>
                            <a:off x="544" y="2691"/>
                            <a:ext cx="5026"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Line 5"/>
                        <wps:cNvCnPr/>
                        <wps:spPr bwMode="auto">
                          <a:xfrm flipV="1">
                            <a:off x="815" y="234"/>
                            <a:ext cx="0" cy="25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Rectangle 6"/>
                        <wps:cNvSpPr>
                          <a:spLocks noChangeArrowheads="1"/>
                        </wps:cNvSpPr>
                        <wps:spPr bwMode="auto">
                          <a:xfrm>
                            <a:off x="951" y="2223"/>
                            <a:ext cx="679" cy="351"/>
                          </a:xfrm>
                          <a:prstGeom prst="rect">
                            <a:avLst/>
                          </a:prstGeom>
                          <a:solidFill>
                            <a:srgbClr val="FFFFFF"/>
                          </a:solidFill>
                          <a:ln w="9525">
                            <a:solidFill>
                              <a:srgbClr val="000000"/>
                            </a:solidFill>
                            <a:miter lim="800000"/>
                            <a:headEnd/>
                            <a:tailEnd/>
                          </a:ln>
                        </wps:spPr>
                        <wps:txbx>
                          <w:txbxContent>
                            <w:p w:rsidR="00941F4A" w:rsidRDefault="00941F4A" w:rsidP="00C03E6A">
                              <w:pPr>
                                <w:ind w:firstLineChars="49" w:firstLine="103"/>
                                <w:rPr>
                                  <w:b/>
                                  <w:bCs/>
                                </w:rPr>
                              </w:pPr>
                              <w:r>
                                <w:rPr>
                                  <w:rFonts w:hint="eastAsia"/>
                                  <w:b/>
                                  <w:bCs/>
                                </w:rPr>
                                <w:t>P</w:t>
                              </w:r>
                              <w:r>
                                <w:rPr>
                                  <w:b/>
                                  <w:bCs/>
                                </w:rPr>
                                <w:t>R1</w:t>
                              </w:r>
                            </w:p>
                          </w:txbxContent>
                        </wps:txbx>
                        <wps:bodyPr rot="0" vert="horz" wrap="square" lIns="91440" tIns="45720" rIns="91440" bIns="45720" anchor="t" anchorCtr="0" upright="1">
                          <a:noAutofit/>
                        </wps:bodyPr>
                      </wps:wsp>
                      <wps:wsp>
                        <wps:cNvPr id="6" name="Rectangle 7"/>
                        <wps:cNvSpPr>
                          <a:spLocks noChangeArrowheads="1"/>
                        </wps:cNvSpPr>
                        <wps:spPr bwMode="auto">
                          <a:xfrm>
                            <a:off x="1495" y="1872"/>
                            <a:ext cx="543"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41F4A" w:rsidRDefault="00941F4A" w:rsidP="00C03E6A">
                              <w:pPr>
                                <w:ind w:firstLineChars="49" w:firstLine="103"/>
                                <w:rPr>
                                  <w:b/>
                                  <w:bCs/>
                                </w:rPr>
                              </w:pPr>
                              <w:r>
                                <w:rPr>
                                  <w:b/>
                                  <w:bCs/>
                                </w:rPr>
                                <w:t>R2</w:t>
                              </w:r>
                            </w:p>
                          </w:txbxContent>
                        </wps:txbx>
                        <wps:bodyPr rot="0" vert="horz" wrap="square" lIns="91440" tIns="45720" rIns="91440" bIns="45720" anchor="t" anchorCtr="0" upright="1">
                          <a:noAutofit/>
                        </wps:bodyPr>
                      </wps:wsp>
                      <wps:wsp>
                        <wps:cNvPr id="7" name="Rectangle 8"/>
                        <wps:cNvSpPr>
                          <a:spLocks noChangeArrowheads="1"/>
                        </wps:cNvSpPr>
                        <wps:spPr bwMode="auto">
                          <a:xfrm>
                            <a:off x="2038" y="1521"/>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41F4A" w:rsidRDefault="00941F4A" w:rsidP="00C03E6A">
                              <w:pPr>
                                <w:ind w:firstLineChars="49" w:firstLine="103"/>
                                <w:rPr>
                                  <w:b/>
                                  <w:bCs/>
                                </w:rPr>
                              </w:pPr>
                              <w:r>
                                <w:rPr>
                                  <w:rFonts w:hint="eastAsia"/>
                                  <w:b/>
                                  <w:bCs/>
                                </w:rPr>
                                <w:t>P</w:t>
                              </w:r>
                              <w:r>
                                <w:rPr>
                                  <w:b/>
                                  <w:bCs/>
                                </w:rPr>
                                <w:t>R3</w:t>
                              </w:r>
                            </w:p>
                          </w:txbxContent>
                        </wps:txbx>
                        <wps:bodyPr rot="0" vert="horz" wrap="square" lIns="91440" tIns="45720" rIns="91440" bIns="45720" anchor="t" anchorCtr="0" upright="1">
                          <a:noAutofit/>
                        </wps:bodyPr>
                      </wps:wsp>
                      <wps:wsp>
                        <wps:cNvPr id="8" name="Rectangle 9"/>
                        <wps:cNvSpPr>
                          <a:spLocks noChangeArrowheads="1"/>
                        </wps:cNvSpPr>
                        <wps:spPr bwMode="auto">
                          <a:xfrm>
                            <a:off x="1495" y="1872"/>
                            <a:ext cx="667" cy="351"/>
                          </a:xfrm>
                          <a:prstGeom prst="rect">
                            <a:avLst/>
                          </a:prstGeom>
                          <a:solidFill>
                            <a:srgbClr val="FFFF00"/>
                          </a:solidFill>
                          <a:ln w="9525">
                            <a:solidFill>
                              <a:srgbClr val="000000"/>
                            </a:solidFill>
                            <a:miter lim="800000"/>
                            <a:headEnd/>
                            <a:tailEnd/>
                          </a:ln>
                        </wps:spPr>
                        <wps:txbx>
                          <w:txbxContent>
                            <w:p w:rsidR="00941F4A" w:rsidRDefault="00941F4A" w:rsidP="00C03E6A">
                              <w:pPr>
                                <w:ind w:firstLineChars="49" w:firstLine="103"/>
                                <w:rPr>
                                  <w:b/>
                                  <w:bCs/>
                                </w:rPr>
                              </w:pPr>
                              <w:r>
                                <w:rPr>
                                  <w:rFonts w:hint="eastAsia"/>
                                  <w:b/>
                                  <w:bCs/>
                                </w:rPr>
                                <w:t>P</w:t>
                              </w:r>
                              <w:r>
                                <w:rPr>
                                  <w:b/>
                                  <w:bCs/>
                                </w:rPr>
                                <w:t>R2</w:t>
                              </w:r>
                            </w:p>
                          </w:txbxContent>
                        </wps:txbx>
                        <wps:bodyPr rot="0" vert="horz" wrap="square" lIns="91440" tIns="45720" rIns="91440" bIns="45720" anchor="t" anchorCtr="0" upright="1">
                          <a:noAutofit/>
                        </wps:bodyPr>
                      </wps:wsp>
                      <wps:wsp>
                        <wps:cNvPr id="9" name="Rectangle 10"/>
                        <wps:cNvSpPr>
                          <a:spLocks noChangeArrowheads="1"/>
                        </wps:cNvSpPr>
                        <wps:spPr bwMode="auto">
                          <a:xfrm>
                            <a:off x="3125" y="819"/>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41F4A" w:rsidRDefault="00941F4A" w:rsidP="00C03E6A">
                              <w:pPr>
                                <w:ind w:firstLineChars="49" w:firstLine="103"/>
                                <w:rPr>
                                  <w:b/>
                                  <w:bCs/>
                                </w:rPr>
                              </w:pPr>
                              <w:r>
                                <w:rPr>
                                  <w:rFonts w:hint="eastAsia"/>
                                  <w:b/>
                                  <w:bCs/>
                                </w:rPr>
                                <w:t>P</w:t>
                              </w:r>
                              <w:r>
                                <w:rPr>
                                  <w:b/>
                                  <w:bCs/>
                                </w:rPr>
                                <w:t>R5</w:t>
                              </w:r>
                            </w:p>
                          </w:txbxContent>
                        </wps:txbx>
                        <wps:bodyPr rot="0" vert="horz" wrap="square" lIns="91440" tIns="45720" rIns="91440" bIns="45720" anchor="t" anchorCtr="0" upright="1">
                          <a:noAutofit/>
                        </wps:bodyPr>
                      </wps:wsp>
                      <wps:wsp>
                        <wps:cNvPr id="10" name="Rectangle 11"/>
                        <wps:cNvSpPr>
                          <a:spLocks noChangeArrowheads="1"/>
                        </wps:cNvSpPr>
                        <wps:spPr bwMode="auto">
                          <a:xfrm>
                            <a:off x="1630" y="2808"/>
                            <a:ext cx="3940" cy="3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1F4A" w:rsidRDefault="00941F4A" w:rsidP="00C03E6A">
                              <w:pPr>
                                <w:jc w:val="center"/>
                                <w:rPr>
                                  <w:sz w:val="18"/>
                                  <w:szCs w:val="18"/>
                                </w:rPr>
                              </w:pPr>
                              <w:r>
                                <w:rPr>
                                  <w:rFonts w:cs="宋体" w:hint="eastAsia"/>
                                  <w:sz w:val="18"/>
                                  <w:szCs w:val="18"/>
                                </w:rPr>
                                <w:t>风险程度</w:t>
                              </w:r>
                            </w:p>
                          </w:txbxContent>
                        </wps:txbx>
                        <wps:bodyPr rot="0" vert="horz" wrap="square" lIns="91440" tIns="45720" rIns="91440" bIns="45720" anchor="t" anchorCtr="0" upright="1">
                          <a:noAutofit/>
                        </wps:bodyPr>
                      </wps:wsp>
                      <wps:wsp>
                        <wps:cNvPr id="11" name="Rectangle 12"/>
                        <wps:cNvSpPr>
                          <a:spLocks noChangeArrowheads="1"/>
                        </wps:cNvSpPr>
                        <wps:spPr bwMode="auto">
                          <a:xfrm>
                            <a:off x="2582" y="1170"/>
                            <a:ext cx="611"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41F4A" w:rsidRDefault="00941F4A" w:rsidP="00C03E6A">
                              <w:pPr>
                                <w:ind w:firstLineChars="49" w:firstLine="103"/>
                                <w:rPr>
                                  <w:b/>
                                  <w:bCs/>
                                </w:rPr>
                              </w:pPr>
                              <w:r>
                                <w:rPr>
                                  <w:rFonts w:hint="eastAsia"/>
                                  <w:b/>
                                  <w:bCs/>
                                </w:rPr>
                                <w:t>P</w:t>
                              </w:r>
                              <w:r>
                                <w:rPr>
                                  <w:b/>
                                  <w:bCs/>
                                </w:rPr>
                                <w:t>R4</w:t>
                              </w:r>
                            </w:p>
                          </w:txbxContent>
                        </wps:txbx>
                        <wps:bodyPr rot="0" vert="horz" wrap="square" lIns="91440" tIns="45720" rIns="91440" bIns="45720" anchor="t" anchorCtr="0" upright="1">
                          <a:noAutofit/>
                        </wps:bodyPr>
                      </wps:wsp>
                    </wpg:wgp>
                  </a:graphicData>
                </a:graphic>
              </wp:inline>
            </w:drawing>
          </mc:Choice>
          <mc:Fallback>
            <w:pict>
              <v:group id="组合 1" o:spid="_x0000_s1026" style="width:459pt;height:210.6pt;mso-position-horizontal-relative:char;mso-position-vertical-relative:line" coordsize="6929,3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">
                <v:rect id="Picture 3" o:spid="_x0000_s1027" style="position:absolute;width:6929;height:3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9acMA&#10;AADaAAAADwAAAGRycy9kb3ducmV2LnhtbESPT4vCMBTE78J+h/AWvMia6kGka5RFWCyLINY/50fz&#10;bIvNS22ybf32RhA8DjPzG2ax6k0lWmpcaVnBZByBIM6sLjlXcDz8fs1BOI+ssbJMCu7kYLX8GCww&#10;1rbjPbWpz0WAsItRQeF9HUvpsoIMurGtiYN3sY1BH2STS91gF+CmktMomkmDJYeFAmtaF5Rd03+j&#10;oMt27fmw3cjd6JxYviW3dXr6U2r42f98g/DU+3f41U60gi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F9acMAAADaAAAADwAAAAAAAAAAAAAAAACYAgAAZHJzL2Rv&#10;d25yZXYueG1sUEsFBgAAAAAEAAQA9QAAAIgDAAAAAA==&#10;" filled="f" stroked="f">
                  <o:lock v:ext="edit" aspectratio="t" text="t"/>
                </v:rect>
                <v:line id="Line 4" o:spid="_x0000_s1028" style="position:absolute;visibility:visible;mso-wrap-style:square" from="544,2691" to="5570,2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8K1MMAAADaAAAADwAAAGRycy9kb3ducmV2LnhtbESPQWsCMRSE7wX/Q3iCt5rVg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PCtTDAAAA2gAAAA8AAAAAAAAAAAAA&#10;AAAAoQIAAGRycy9kb3ducmV2LnhtbFBLBQYAAAAABAAEAPkAAACRAwAAAAA=&#10;">
                  <v:stroke endarrow="block"/>
                </v:line>
                <v:line id="Line 5" o:spid="_x0000_s1029" style="position:absolute;flip:y;visibility:visible;mso-wrap-style:square" from="815,234" to="815,2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3JMAAAADaAAAADwAAAGRycy9kb3ducmV2LnhtbERPTWvCQBC9F/wPyxR6CXXTKtJGV7FV&#10;QSg9GD30OGTHJDQ7G7JTjf/eFYQeH+97tuhdo07UhdqzgZdhCoq48Lbm0sBhv3l+AxUE2WLjmQxc&#10;KMBiPniYYWb9mXd0yqVUMYRDhgYqkTbTOhQVOQxD3xJH7ug7hxJhV2rb4TmGu0a/pulEO6w5NlTY&#10;0mdFxW/+5+KMzTevRqPkw+kkeaf1j3ylWox5euyXU1BCvfyL7+6tNTCG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A/tyTAAAAA2gAAAA8AAAAAAAAAAAAAAAAA&#10;oQIAAGRycy9kb3ducmV2LnhtbFBLBQYAAAAABAAEAPkAAACOAwAAAAA=&#10;">
                  <v:stroke endarrow="block"/>
                </v:line>
                <v:rect id="Rectangle 6" o:spid="_x0000_s1030" style="position:absolute;left:951;top:2223;width:679;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941F4A" w:rsidRDefault="00941F4A" w:rsidP="00C03E6A">
                        <w:pPr>
                          <w:ind w:firstLineChars="49" w:firstLine="103"/>
                          <w:rPr>
                            <w:b/>
                            <w:bCs/>
                          </w:rPr>
                        </w:pPr>
                        <w:r>
                          <w:rPr>
                            <w:rFonts w:hint="eastAsia"/>
                            <w:b/>
                            <w:bCs/>
                          </w:rPr>
                          <w:t>P</w:t>
                        </w:r>
                        <w:r>
                          <w:rPr>
                            <w:b/>
                            <w:bCs/>
                          </w:rPr>
                          <w:t>R1</w:t>
                        </w:r>
                      </w:p>
                    </w:txbxContent>
                  </v:textbox>
                </v:rect>
                <v:rect id="Rectangle 7" o:spid="_x0000_s1031" style="position:absolute;left:1495;top:1872;width:543;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dYO8IA&#10;AADaAAAADwAAAGRycy9kb3ducmV2LnhtbESPQWsCMRSE7wX/Q3iCt27WglJWo6xSoSdBK6i3x+aZ&#10;LG5elk3qbv99IxR6HGbmG2a5HlwjHtSF2rOCaZaDIK68rtkoOH3tXt9BhIissfFMCn4owHo1elli&#10;oX3PB3ocoxEJwqFABTbGtpAyVJYchsy3xMm7+c5hTLIzUnfYJ7hr5Fuez6XDmtOCxZa2lqr78dsp&#10;+Giv+3JmgizP0V7uftPv7N4oNRkP5QJEpCH+h//an1rBHJ5X0g2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t1g7wgAAANoAAAAPAAAAAAAAAAAAAAAAAJgCAABkcnMvZG93&#10;bnJldi54bWxQSwUGAAAAAAQABAD1AAAAhwMAAAAA&#10;" filled="f">
                  <v:textbox>
                    <w:txbxContent>
                      <w:p w:rsidR="00941F4A" w:rsidRDefault="00941F4A" w:rsidP="00C03E6A">
                        <w:pPr>
                          <w:ind w:firstLineChars="49" w:firstLine="103"/>
                          <w:rPr>
                            <w:b/>
                            <w:bCs/>
                          </w:rPr>
                        </w:pPr>
                        <w:r>
                          <w:rPr>
                            <w:b/>
                            <w:bCs/>
                          </w:rPr>
                          <w:t>R2</w:t>
                        </w:r>
                      </w:p>
                    </w:txbxContent>
                  </v:textbox>
                </v:rect>
                <v:rect id="Rectangle 8" o:spid="_x0000_s1032" style="position:absolute;left:2038;top:1521;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v9oMMA&#10;AADaAAAADwAAAGRycy9kb3ducmV2LnhtbESPQWvCQBSE7wX/w/IEb3VTobakbiSKgiehWtDeHtnX&#10;3ZDs25DdmvTfd4VCj8PMfMOs1qNrxY36UHtW8DTPQBBXXtdsFHyc94+vIEJE1th6JgU/FGBdTB5W&#10;mGs/8DvdTtGIBOGQowIbY5dLGSpLDsPcd8TJ+/K9w5hkb6TucUhw18pFli2lw5rTgsWOtpaq5vTt&#10;FOy6z2P5bIIsL9FeG78Z9vZolJpNx/INRKQx/of/2get4A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v9oMMAAADaAAAADwAAAAAAAAAAAAAAAACYAgAAZHJzL2Rv&#10;d25yZXYueG1sUEsFBgAAAAAEAAQA9QAAAIgDAAAAAA==&#10;" filled="f">
                  <v:textbox>
                    <w:txbxContent>
                      <w:p w:rsidR="00941F4A" w:rsidRDefault="00941F4A" w:rsidP="00C03E6A">
                        <w:pPr>
                          <w:ind w:firstLineChars="49" w:firstLine="103"/>
                          <w:rPr>
                            <w:b/>
                            <w:bCs/>
                          </w:rPr>
                        </w:pPr>
                        <w:r>
                          <w:rPr>
                            <w:rFonts w:hint="eastAsia"/>
                            <w:b/>
                            <w:bCs/>
                          </w:rPr>
                          <w:t>P</w:t>
                        </w:r>
                        <w:r>
                          <w:rPr>
                            <w:b/>
                            <w:bCs/>
                          </w:rPr>
                          <w:t>R3</w:t>
                        </w:r>
                      </w:p>
                    </w:txbxContent>
                  </v:textbox>
                </v:rect>
                <v:rect id="Rectangle 9" o:spid="_x0000_s1033" style="position:absolute;left:1495;top:1872;width:667;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RZ+8AA&#10;AADaAAAADwAAAGRycy9kb3ducmV2LnhtbERPy4rCMBTdD/gP4Q64G9MRlNoxlsEXzka0iutLc21L&#10;m5vSRK1/P1kILg/nPU9704g7da6yrOB7FIEgzq2uuFBwPm2+YhDOI2tsLJOCJzlIF4OPOSbaPvhI&#10;98wXIoSwS1BB6X2bSOnykgy6kW2JA3e1nUEfYFdI3eEjhJtGjqNoKg1WHBpKbGlZUl5nN6Nge27/&#10;6mz5HMf7w2SdxavL7Lq/KDX87H9/QHjq/Vv8cu+0grA1XAk3QC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LRZ+8AAAADaAAAADwAAAAAAAAAAAAAAAACYAgAAZHJzL2Rvd25y&#10;ZXYueG1sUEsFBgAAAAAEAAQA9QAAAIUDAAAAAA==&#10;" fillcolor="yellow">
                  <v:textbox>
                    <w:txbxContent>
                      <w:p w:rsidR="00941F4A" w:rsidRDefault="00941F4A" w:rsidP="00C03E6A">
                        <w:pPr>
                          <w:ind w:firstLineChars="49" w:firstLine="103"/>
                          <w:rPr>
                            <w:b/>
                            <w:bCs/>
                          </w:rPr>
                        </w:pPr>
                        <w:r>
                          <w:rPr>
                            <w:rFonts w:hint="eastAsia"/>
                            <w:b/>
                            <w:bCs/>
                          </w:rPr>
                          <w:t>P</w:t>
                        </w:r>
                        <w:r>
                          <w:rPr>
                            <w:b/>
                            <w:bCs/>
                          </w:rPr>
                          <w:t>R2</w:t>
                        </w:r>
                      </w:p>
                    </w:txbxContent>
                  </v:textbox>
                </v:rect>
                <v:rect id="Rectangle 10" o:spid="_x0000_s1034" style="position:absolute;left:3125;top:819;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jMScMA&#10;AADaAAAADwAAAGRycy9kb3ducmV2LnhtbESPQWvCQBSE7wX/w/IEb3VTodKmbiSKgiehWtDeHtnX&#10;3ZDs25DdmvTfd4VCj8PMfMOs1qNrxY36UHtW8DTPQBBXXtdsFHyc948vIEJE1th6JgU/FGBdTB5W&#10;mGs/8DvdTtGIBOGQowIbY5dLGSpLDsPcd8TJ+/K9w5hkb6TucUhw18pFli2lw5rTgsWOtpaq5vTt&#10;FOy6z2P5bIIsL9FeG78Z9vZolJpNx/INRKQx/of/2get4B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CjMScMAAADaAAAADwAAAAAAAAAAAAAAAACYAgAAZHJzL2Rv&#10;d25yZXYueG1sUEsFBgAAAAAEAAQA9QAAAIgDAAAAAA==&#10;" filled="f">
                  <v:textbox>
                    <w:txbxContent>
                      <w:p w:rsidR="00941F4A" w:rsidRDefault="00941F4A" w:rsidP="00C03E6A">
                        <w:pPr>
                          <w:ind w:firstLineChars="49" w:firstLine="103"/>
                          <w:rPr>
                            <w:b/>
                            <w:bCs/>
                          </w:rPr>
                        </w:pPr>
                        <w:r>
                          <w:rPr>
                            <w:rFonts w:hint="eastAsia"/>
                            <w:b/>
                            <w:bCs/>
                          </w:rPr>
                          <w:t>P</w:t>
                        </w:r>
                        <w:r>
                          <w:rPr>
                            <w:b/>
                            <w:bCs/>
                          </w:rPr>
                          <w:t>R5</w:t>
                        </w:r>
                      </w:p>
                    </w:txbxContent>
                  </v:textbox>
                </v:rect>
                <v:rect id="Rectangle 11" o:spid="_x0000_s1035" style="position:absolute;left:1630;top:2808;width:3940;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ibJsQA&#10;AADbAAAADwAAAGRycy9kb3ducmV2LnhtbESPT2vCQBDF7wW/wzJCb3XX/gk1ukopCELbg1HodciO&#10;STA7m2ZXjd++cxC8zfDevPebxWrwrTpTH5vAFqYTA4q4DK7hysJ+t356BxUTssM2MFm4UoTVcvSw&#10;wNyFC2/pXKRKSQjHHC3UKXW51rGsyWOchI5YtEPoPSZZ+0q7Hi8S7lv9bEymPTYsDTV29FlTeSxO&#10;3gJmr+7v5/Dyvfs6ZTirBrN++zXWPo6HjzmoREO6m2/XGyf4Qi+/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omybEAAAA2wAAAA8AAAAAAAAAAAAAAAAAmAIAAGRycy9k&#10;b3ducmV2LnhtbFBLBQYAAAAABAAEAPUAAACJAwAAAAA=&#10;" stroked="f">
                  <v:textbox>
                    <w:txbxContent>
                      <w:p w:rsidR="00941F4A" w:rsidRDefault="00941F4A" w:rsidP="00C03E6A">
                        <w:pPr>
                          <w:jc w:val="center"/>
                          <w:rPr>
                            <w:sz w:val="18"/>
                            <w:szCs w:val="18"/>
                          </w:rPr>
                        </w:pPr>
                        <w:r>
                          <w:rPr>
                            <w:rFonts w:cs="宋体" w:hint="eastAsia"/>
                            <w:sz w:val="18"/>
                            <w:szCs w:val="18"/>
                          </w:rPr>
                          <w:t>风险程度</w:t>
                        </w:r>
                      </w:p>
                    </w:txbxContent>
                  </v:textbox>
                </v:rect>
                <v:rect id="Rectangle 12" o:spid="_x0000_s1036" style="position:absolute;left:2582;top:1170;width:611;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Hcy8EA&#10;AADbAAAADwAAAGRycy9kb3ducmV2LnhtbERPyWrDMBC9B/oPYgq9xXIKLcGJYpzSQE+BLNDmNlgT&#10;ydgaGUuN3b+PCoXe5vHWWZeT68SNhtB4VrDIchDEtdcNGwXn026+BBEissbOMyn4oQDl5mG2xkL7&#10;kQ90O0YjUgiHAhXYGPtCylBbchgy3xMn7uoHhzHBwUg94JjCXSef8/xVOmw4NVjs6c1S3R6/nYL3&#10;/rKvXkyQ1We0X63fjju7N0o9PU7VCkSkKf6L/9wfOs1fwO8v6QC5u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R3MvBAAAA2wAAAA8AAAAAAAAAAAAAAAAAmAIAAGRycy9kb3du&#10;cmV2LnhtbFBLBQYAAAAABAAEAPUAAACGAwAAAAA=&#10;" filled="f">
                  <v:textbox>
                    <w:txbxContent>
                      <w:p w:rsidR="00941F4A" w:rsidRDefault="00941F4A" w:rsidP="00C03E6A">
                        <w:pPr>
                          <w:ind w:firstLineChars="49" w:firstLine="103"/>
                          <w:rPr>
                            <w:b/>
                            <w:bCs/>
                          </w:rPr>
                        </w:pPr>
                        <w:r>
                          <w:rPr>
                            <w:rFonts w:hint="eastAsia"/>
                            <w:b/>
                            <w:bCs/>
                          </w:rPr>
                          <w:t>P</w:t>
                        </w:r>
                        <w:r>
                          <w:rPr>
                            <w:b/>
                            <w:bCs/>
                          </w:rPr>
                          <w:t>R4</w:t>
                        </w:r>
                      </w:p>
                    </w:txbxContent>
                  </v:textbox>
                </v:rect>
                <w10:anchorlock/>
              </v:group>
            </w:pict>
          </mc:Fallback>
        </mc:AlternateConten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R2，较低风险。该评级仅是新昌农商银行内部测评结果，仅供投资者参考，不具有任何法律约束力。</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4075B4">
            <w:pPr>
              <w:widowControl/>
              <w:jc w:val="center"/>
              <w:rPr>
                <w:rFonts w:ascii="宋体" w:hAnsi="宋体" w:cs="宋体"/>
                <w:color w:val="000000"/>
                <w:kern w:val="0"/>
                <w:sz w:val="20"/>
              </w:rPr>
            </w:pPr>
            <w:r w:rsidRPr="00AB67C0">
              <w:rPr>
                <w:rFonts w:ascii="宋体" w:hAnsi="宋体" w:cs="宋体" w:hint="eastAsia"/>
                <w:color w:val="000000"/>
                <w:kern w:val="0"/>
                <w:sz w:val="20"/>
              </w:rPr>
              <w:t>0-</w:t>
            </w:r>
            <w:r w:rsidR="004075B4">
              <w:rPr>
                <w:rFonts w:ascii="宋体" w:hAnsi="宋体" w:cs="宋体" w:hint="eastAsia"/>
                <w:color w:val="000000"/>
                <w:kern w:val="0"/>
                <w:sz w:val="20"/>
              </w:rPr>
              <w:t>100</w:t>
            </w:r>
            <w:r w:rsidRPr="00AB67C0">
              <w:rPr>
                <w:rFonts w:ascii="宋体" w:hAnsi="宋体" w:cs="宋体" w:hint="eastAsia"/>
                <w:color w:val="000000"/>
                <w:kern w:val="0"/>
                <w:sz w:val="20"/>
              </w:rPr>
              <w:t>%</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w:t>
            </w:r>
            <w:r w:rsidRPr="00AB67C0">
              <w:rPr>
                <w:rFonts w:ascii="宋体" w:hAnsi="宋体" w:cs="宋体" w:hint="eastAsia"/>
                <w:color w:val="000000"/>
                <w:kern w:val="0"/>
                <w:sz w:val="18"/>
                <w:szCs w:val="18"/>
              </w:rPr>
              <w:lastRenderedPageBreak/>
              <w:t>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r>
    </w:tbl>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lastRenderedPageBreak/>
        <w:t>（三）投资策略</w:t>
      </w:r>
    </w:p>
    <w:p w:rsidR="00C03E6A" w:rsidRPr="00AB67C0" w:rsidRDefault="00C03E6A" w:rsidP="00C03E6A">
      <w:pPr>
        <w:pStyle w:val="Default"/>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产品概述</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4"/>
        <w:gridCol w:w="7332"/>
      </w:tblGrid>
      <w:tr w:rsidR="00C03E6A" w:rsidRPr="00D56A8B" w:rsidTr="001D0CAB">
        <w:trPr>
          <w:trHeight w:val="289"/>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产品名称</w:t>
            </w:r>
          </w:p>
        </w:tc>
        <w:tc>
          <w:tcPr>
            <w:tcW w:w="7332" w:type="dxa"/>
            <w:tcMar>
              <w:top w:w="15" w:type="dxa"/>
              <w:left w:w="15" w:type="dxa"/>
              <w:bottom w:w="0" w:type="dxa"/>
              <w:right w:w="15" w:type="dxa"/>
            </w:tcMar>
            <w:vAlign w:val="center"/>
          </w:tcPr>
          <w:p w:rsidR="00C03E6A" w:rsidRPr="00632C22" w:rsidRDefault="00C03E6A" w:rsidP="005606C4">
            <w:pPr>
              <w:rPr>
                <w:rFonts w:ascii="宋体" w:hAnsi="宋体"/>
                <w:kern w:val="0"/>
                <w:sz w:val="18"/>
                <w:szCs w:val="18"/>
              </w:rPr>
            </w:pPr>
            <w:r w:rsidRPr="00632C22">
              <w:rPr>
                <w:rFonts w:ascii="宋体" w:hAnsi="宋体" w:cs="宋体" w:hint="eastAsia"/>
                <w:kern w:val="0"/>
                <w:sz w:val="18"/>
                <w:szCs w:val="18"/>
              </w:rPr>
              <w:t>新昌农商银行</w:t>
            </w:r>
            <w:r w:rsidR="00BB2884">
              <w:rPr>
                <w:rFonts w:ascii="宋体" w:hAnsi="宋体" w:cs="宋体" w:hint="eastAsia"/>
                <w:kern w:val="0"/>
                <w:sz w:val="18"/>
                <w:szCs w:val="18"/>
              </w:rPr>
              <w:t>丰收信福4号</w:t>
            </w:r>
            <w:r w:rsidR="005D197E">
              <w:rPr>
                <w:rFonts w:ascii="宋体" w:hAnsi="宋体" w:cs="宋体" w:hint="eastAsia"/>
                <w:kern w:val="0"/>
                <w:sz w:val="18"/>
                <w:szCs w:val="18"/>
              </w:rPr>
              <w:t>2021</w:t>
            </w:r>
            <w:r w:rsidRPr="00632C22">
              <w:rPr>
                <w:rFonts w:ascii="宋体" w:hAnsi="宋体" w:cs="宋体" w:hint="eastAsia"/>
                <w:kern w:val="0"/>
                <w:sz w:val="18"/>
                <w:szCs w:val="18"/>
              </w:rPr>
              <w:t>年</w:t>
            </w:r>
            <w:r w:rsidR="00803B7C" w:rsidRPr="00632C22">
              <w:rPr>
                <w:rFonts w:ascii="宋体" w:hAnsi="宋体" w:cs="宋体" w:hint="eastAsia"/>
                <w:kern w:val="0"/>
                <w:sz w:val="18"/>
                <w:szCs w:val="18"/>
              </w:rPr>
              <w:t>第</w:t>
            </w:r>
            <w:r w:rsidR="00AA43E0">
              <w:rPr>
                <w:rFonts w:ascii="宋体" w:hAnsi="宋体" w:cs="宋体" w:hint="eastAsia"/>
                <w:kern w:val="0"/>
                <w:sz w:val="18"/>
                <w:szCs w:val="18"/>
              </w:rPr>
              <w:t>8</w:t>
            </w:r>
            <w:r w:rsidR="00803B7C" w:rsidRPr="00632C22">
              <w:rPr>
                <w:rFonts w:ascii="宋体" w:hAnsi="宋体" w:cs="宋体" w:hint="eastAsia"/>
                <w:kern w:val="0"/>
                <w:sz w:val="18"/>
                <w:szCs w:val="18"/>
              </w:rPr>
              <w:t>期</w:t>
            </w:r>
            <w:r w:rsidRPr="00632C22">
              <w:rPr>
                <w:rFonts w:ascii="宋体" w:hAnsi="宋体" w:cs="宋体" w:hint="eastAsia"/>
                <w:kern w:val="0"/>
                <w:sz w:val="18"/>
                <w:szCs w:val="18"/>
              </w:rPr>
              <w:t>人民币理财产品</w:t>
            </w:r>
          </w:p>
        </w:tc>
      </w:tr>
      <w:tr w:rsidR="00C03E6A" w:rsidRPr="00D56A8B" w:rsidTr="001D0CAB">
        <w:trPr>
          <w:trHeight w:val="227"/>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产品编号</w:t>
            </w:r>
          </w:p>
        </w:tc>
        <w:tc>
          <w:tcPr>
            <w:tcW w:w="7332" w:type="dxa"/>
            <w:tcMar>
              <w:top w:w="15" w:type="dxa"/>
              <w:left w:w="15" w:type="dxa"/>
              <w:bottom w:w="0" w:type="dxa"/>
              <w:right w:w="15" w:type="dxa"/>
            </w:tcMar>
            <w:vAlign w:val="center"/>
          </w:tcPr>
          <w:p w:rsidR="00C03E6A" w:rsidRPr="00632C22" w:rsidRDefault="00C03E6A" w:rsidP="00BB2884">
            <w:pPr>
              <w:rPr>
                <w:rFonts w:ascii="宋体" w:hAnsi="宋体"/>
                <w:kern w:val="0"/>
                <w:sz w:val="18"/>
                <w:szCs w:val="18"/>
              </w:rPr>
            </w:pPr>
            <w:r w:rsidRPr="00632C22">
              <w:rPr>
                <w:rFonts w:ascii="宋体" w:hAnsi="宋体"/>
                <w:kern w:val="0"/>
                <w:sz w:val="18"/>
                <w:szCs w:val="18"/>
              </w:rPr>
              <w:t>SXXC</w:t>
            </w:r>
            <w:r w:rsidR="00BB2884">
              <w:rPr>
                <w:rFonts w:ascii="宋体" w:hAnsi="宋体" w:hint="eastAsia"/>
                <w:kern w:val="0"/>
                <w:sz w:val="18"/>
                <w:szCs w:val="18"/>
              </w:rPr>
              <w:t>FS</w:t>
            </w:r>
            <w:r w:rsidR="00706981">
              <w:rPr>
                <w:rFonts w:ascii="宋体" w:hAnsi="宋体" w:hint="eastAsia"/>
                <w:kern w:val="0"/>
                <w:sz w:val="18"/>
                <w:szCs w:val="18"/>
              </w:rPr>
              <w:t>XF</w:t>
            </w:r>
            <w:r w:rsidR="00BB2884">
              <w:rPr>
                <w:rFonts w:ascii="宋体" w:hAnsi="宋体" w:hint="eastAsia"/>
                <w:kern w:val="0"/>
                <w:sz w:val="18"/>
                <w:szCs w:val="18"/>
              </w:rPr>
              <w:t>04</w:t>
            </w:r>
            <w:r w:rsidR="005D197E">
              <w:rPr>
                <w:rFonts w:ascii="宋体" w:hAnsi="宋体"/>
                <w:kern w:val="0"/>
                <w:sz w:val="18"/>
                <w:szCs w:val="18"/>
              </w:rPr>
              <w:t>202</w:t>
            </w:r>
            <w:r w:rsidR="00AA43E0">
              <w:rPr>
                <w:rFonts w:ascii="宋体" w:hAnsi="宋体" w:hint="eastAsia"/>
                <w:kern w:val="0"/>
                <w:sz w:val="18"/>
                <w:szCs w:val="18"/>
              </w:rPr>
              <w:t>108</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产品登记编码</w:t>
            </w:r>
          </w:p>
        </w:tc>
        <w:tc>
          <w:tcPr>
            <w:tcW w:w="7332" w:type="dxa"/>
            <w:tcMar>
              <w:top w:w="15" w:type="dxa"/>
              <w:left w:w="15" w:type="dxa"/>
              <w:bottom w:w="0" w:type="dxa"/>
              <w:right w:w="15" w:type="dxa"/>
            </w:tcMar>
            <w:vAlign w:val="center"/>
          </w:tcPr>
          <w:p w:rsidR="00C03E6A" w:rsidRPr="00632C22" w:rsidRDefault="00C03E6A" w:rsidP="00932F83">
            <w:pPr>
              <w:rPr>
                <w:rFonts w:ascii="宋体" w:hAnsi="宋体"/>
                <w:kern w:val="0"/>
                <w:sz w:val="18"/>
                <w:szCs w:val="18"/>
              </w:rPr>
            </w:pPr>
            <w:r w:rsidRPr="00632C22">
              <w:rPr>
                <w:rFonts w:ascii="宋体" w:hAnsi="宋体" w:cs="宋体" w:hint="eastAsia"/>
                <w:kern w:val="0"/>
                <w:sz w:val="18"/>
                <w:szCs w:val="18"/>
              </w:rPr>
              <w:t>该产品在全国银行业理财信息登记系统的登记编码是</w:t>
            </w:r>
            <w:r w:rsidR="005D197E">
              <w:rPr>
                <w:rFonts w:ascii="宋体" w:hAnsi="宋体" w:cs="宋体"/>
                <w:kern w:val="0"/>
                <w:sz w:val="18"/>
                <w:szCs w:val="18"/>
              </w:rPr>
              <w:t>C112512</w:t>
            </w:r>
            <w:r w:rsidR="005D197E">
              <w:rPr>
                <w:rFonts w:ascii="宋体" w:hAnsi="宋体" w:cs="宋体" w:hint="eastAsia"/>
                <w:kern w:val="0"/>
                <w:sz w:val="18"/>
                <w:szCs w:val="18"/>
              </w:rPr>
              <w:t>1</w:t>
            </w:r>
            <w:r w:rsidR="007761F9" w:rsidRPr="00632C22">
              <w:rPr>
                <w:rFonts w:ascii="宋体" w:hAnsi="宋体" w:cs="宋体"/>
                <w:kern w:val="0"/>
                <w:sz w:val="18"/>
                <w:szCs w:val="18"/>
              </w:rPr>
              <w:t>000</w:t>
            </w:r>
            <w:r w:rsidR="005606C4">
              <w:rPr>
                <w:rFonts w:ascii="宋体" w:hAnsi="宋体" w:cs="宋体" w:hint="eastAsia"/>
                <w:kern w:val="0"/>
                <w:sz w:val="18"/>
                <w:szCs w:val="18"/>
              </w:rPr>
              <w:t>0</w:t>
            </w:r>
            <w:r w:rsidR="009D79C1">
              <w:rPr>
                <w:rFonts w:ascii="宋体" w:hAnsi="宋体" w:cs="宋体" w:hint="eastAsia"/>
                <w:kern w:val="0"/>
                <w:sz w:val="18"/>
                <w:szCs w:val="18"/>
              </w:rPr>
              <w:t>77</w:t>
            </w:r>
            <w:r w:rsidRPr="00632C22">
              <w:rPr>
                <w:rFonts w:ascii="宋体" w:hAnsi="宋体" w:cs="宋体" w:hint="eastAsia"/>
                <w:kern w:val="0"/>
                <w:sz w:val="18"/>
                <w:szCs w:val="18"/>
              </w:rPr>
              <w:t>，客户可依据该编码在“中国理财网（</w:t>
            </w:r>
            <w:r w:rsidRPr="00632C22">
              <w:rPr>
                <w:rFonts w:ascii="宋体" w:hAnsi="宋体" w:cs="宋体"/>
                <w:kern w:val="0"/>
                <w:sz w:val="18"/>
                <w:szCs w:val="18"/>
              </w:rPr>
              <w:t>www.chinawealth.com.cn</w:t>
            </w:r>
            <w:r w:rsidRPr="00632C22">
              <w:rPr>
                <w:rFonts w:ascii="宋体" w:hAnsi="宋体" w:cs="宋体" w:hint="eastAsia"/>
                <w:kern w:val="0"/>
                <w:sz w:val="18"/>
                <w:szCs w:val="18"/>
              </w:rPr>
              <w:t>）”查询该产品信息。</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适用客户</w:t>
            </w:r>
          </w:p>
        </w:tc>
        <w:tc>
          <w:tcPr>
            <w:tcW w:w="7332" w:type="dxa"/>
            <w:tcMar>
              <w:top w:w="15" w:type="dxa"/>
              <w:left w:w="15" w:type="dxa"/>
              <w:bottom w:w="0" w:type="dxa"/>
              <w:right w:w="15" w:type="dxa"/>
            </w:tcMar>
            <w:vAlign w:val="center"/>
          </w:tcPr>
          <w:p w:rsidR="00C03E6A" w:rsidRPr="00632C22" w:rsidRDefault="00C03E6A" w:rsidP="001D0CAB">
            <w:pPr>
              <w:widowControl/>
              <w:jc w:val="left"/>
              <w:rPr>
                <w:rFonts w:ascii="宋体" w:hAnsi="宋体" w:cs="宋体"/>
                <w:b/>
                <w:kern w:val="0"/>
                <w:sz w:val="18"/>
                <w:szCs w:val="18"/>
              </w:rPr>
            </w:pPr>
            <w:r w:rsidRPr="00632C22">
              <w:rPr>
                <w:rFonts w:ascii="宋体" w:hAnsi="宋体" w:cs="宋体" w:hint="eastAsia"/>
                <w:kern w:val="0"/>
                <w:sz w:val="18"/>
                <w:szCs w:val="18"/>
              </w:rPr>
              <w:t>本理财产品适合机构投资者及谨慎型</w:t>
            </w:r>
            <w:r w:rsidRPr="00632C22">
              <w:rPr>
                <w:rFonts w:ascii="宋体" w:hAnsi="宋体" w:cs="宋体" w:hint="eastAsia"/>
                <w:b/>
                <w:kern w:val="0"/>
                <w:sz w:val="18"/>
                <w:szCs w:val="18"/>
              </w:rPr>
              <w:t>、</w:t>
            </w:r>
            <w:r w:rsidRPr="00632C22">
              <w:rPr>
                <w:rFonts w:ascii="宋体" w:hAnsi="宋体" w:cs="宋体" w:hint="eastAsia"/>
                <w:kern w:val="0"/>
                <w:sz w:val="18"/>
                <w:szCs w:val="18"/>
              </w:rPr>
              <w:t>稳健型、进取型、激进型的个人投资者。</w:t>
            </w:r>
          </w:p>
        </w:tc>
      </w:tr>
      <w:tr w:rsidR="00C03E6A" w:rsidRPr="00D56A8B" w:rsidTr="001D0CAB">
        <w:trPr>
          <w:trHeight w:val="210"/>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销售渠道</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个人客户可通过新昌农商银行的营业网点、手机银行等渠道购买。</w:t>
            </w:r>
          </w:p>
          <w:p w:rsidR="00C03E6A" w:rsidRPr="00632C22" w:rsidRDefault="00C03E6A" w:rsidP="001D0CAB">
            <w:pPr>
              <w:rPr>
                <w:rFonts w:ascii="宋体" w:hAnsi="宋体"/>
                <w:kern w:val="0"/>
              </w:rPr>
            </w:pPr>
            <w:r w:rsidRPr="00632C22">
              <w:rPr>
                <w:rFonts w:ascii="宋体" w:hAnsi="宋体" w:cs="宋体" w:hint="eastAsia"/>
                <w:kern w:val="0"/>
                <w:sz w:val="18"/>
                <w:szCs w:val="18"/>
              </w:rPr>
              <w:t>机构客户可通过新昌农商银行的营业网点渠道购买。</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交易币种</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人民币</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起点认购金额</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认购起点金额</w:t>
            </w:r>
            <w:r w:rsidRPr="00632C22">
              <w:rPr>
                <w:rFonts w:ascii="宋体" w:hAnsi="宋体" w:cs="宋体"/>
                <w:kern w:val="0"/>
                <w:sz w:val="18"/>
                <w:szCs w:val="18"/>
              </w:rPr>
              <w:t>1万元</w:t>
            </w:r>
            <w:r w:rsidRPr="00632C22">
              <w:rPr>
                <w:rFonts w:ascii="宋体" w:hAnsi="宋体" w:cs="宋体" w:hint="eastAsia"/>
                <w:kern w:val="0"/>
                <w:sz w:val="18"/>
                <w:szCs w:val="18"/>
              </w:rPr>
              <w:t>整，超过起点部分，应为</w:t>
            </w:r>
            <w:r w:rsidRPr="00632C22">
              <w:rPr>
                <w:rFonts w:ascii="宋体" w:hAnsi="宋体" w:cs="宋体"/>
                <w:kern w:val="0"/>
                <w:sz w:val="18"/>
                <w:szCs w:val="18"/>
              </w:rPr>
              <w:t>1000</w:t>
            </w:r>
            <w:r w:rsidRPr="00632C22">
              <w:rPr>
                <w:rFonts w:ascii="宋体" w:hAnsi="宋体" w:cs="宋体" w:hint="eastAsia"/>
                <w:kern w:val="0"/>
                <w:sz w:val="18"/>
                <w:szCs w:val="18"/>
              </w:rPr>
              <w:t>元的整数倍。</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产品类型</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公募类封闭式净值型理财产品</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投资性质</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固定收益类</w:t>
            </w:r>
          </w:p>
        </w:tc>
      </w:tr>
      <w:tr w:rsidR="00C03E6A" w:rsidRPr="00BF487E" w:rsidTr="001D0CAB">
        <w:trPr>
          <w:cantSplit/>
          <w:trHeight w:val="731"/>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产品规模</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规模下限为</w:t>
            </w:r>
            <w:r w:rsidRPr="00632C22">
              <w:rPr>
                <w:rFonts w:ascii="宋体" w:hAnsi="宋体" w:cs="宋体"/>
                <w:kern w:val="0"/>
                <w:sz w:val="18"/>
                <w:szCs w:val="18"/>
              </w:rPr>
              <w:t>30</w:t>
            </w:r>
            <w:r w:rsidRPr="00632C22">
              <w:rPr>
                <w:rFonts w:ascii="宋体" w:hAnsi="宋体" w:cs="宋体" w:hint="eastAsia"/>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产品认购期</w:t>
            </w:r>
          </w:p>
        </w:tc>
        <w:tc>
          <w:tcPr>
            <w:tcW w:w="7332" w:type="dxa"/>
            <w:tcMar>
              <w:top w:w="15" w:type="dxa"/>
              <w:left w:w="15" w:type="dxa"/>
              <w:bottom w:w="0" w:type="dxa"/>
              <w:right w:w="15" w:type="dxa"/>
            </w:tcMar>
            <w:vAlign w:val="center"/>
          </w:tcPr>
          <w:p w:rsidR="00C03E6A" w:rsidRPr="00632C22" w:rsidRDefault="005D197E" w:rsidP="00C76B25">
            <w:pPr>
              <w:rPr>
                <w:rFonts w:ascii="宋体" w:hAnsi="宋体"/>
                <w:kern w:val="0"/>
              </w:rPr>
            </w:pPr>
            <w:r>
              <w:rPr>
                <w:rFonts w:ascii="宋体" w:hAnsi="宋体" w:cs="宋体" w:hint="eastAsia"/>
                <w:kern w:val="0"/>
                <w:sz w:val="18"/>
                <w:szCs w:val="18"/>
              </w:rPr>
              <w:t>2021</w:t>
            </w:r>
            <w:r w:rsidR="00C03E6A" w:rsidRPr="00632C22">
              <w:rPr>
                <w:rFonts w:ascii="宋体" w:hAnsi="宋体" w:cs="宋体" w:hint="eastAsia"/>
                <w:kern w:val="0"/>
                <w:sz w:val="18"/>
                <w:szCs w:val="18"/>
              </w:rPr>
              <w:t>年</w:t>
            </w:r>
            <w:r w:rsidR="00AA43E0">
              <w:rPr>
                <w:rFonts w:ascii="宋体" w:hAnsi="宋体" w:cs="宋体" w:hint="eastAsia"/>
                <w:kern w:val="0"/>
                <w:sz w:val="18"/>
                <w:szCs w:val="18"/>
              </w:rPr>
              <w:t>11</w:t>
            </w:r>
            <w:r w:rsidR="00C03E6A" w:rsidRPr="00632C22">
              <w:rPr>
                <w:rFonts w:ascii="宋体" w:hAnsi="宋体" w:cs="宋体" w:hint="eastAsia"/>
                <w:kern w:val="0"/>
                <w:sz w:val="18"/>
                <w:szCs w:val="18"/>
              </w:rPr>
              <w:t>月</w:t>
            </w:r>
            <w:r w:rsidR="00AA43E0">
              <w:rPr>
                <w:rFonts w:ascii="宋体" w:hAnsi="宋体" w:cs="宋体" w:hint="eastAsia"/>
                <w:kern w:val="0"/>
                <w:sz w:val="18"/>
                <w:szCs w:val="18"/>
              </w:rPr>
              <w:t>7</w:t>
            </w:r>
            <w:r w:rsidR="00C03E6A" w:rsidRPr="00632C22">
              <w:rPr>
                <w:rFonts w:ascii="宋体" w:hAnsi="宋体" w:cs="宋体" w:hint="eastAsia"/>
                <w:kern w:val="0"/>
                <w:sz w:val="18"/>
                <w:szCs w:val="18"/>
              </w:rPr>
              <w:t>日至</w:t>
            </w:r>
            <w:r w:rsidR="00C03E6A" w:rsidRPr="00632C22">
              <w:rPr>
                <w:rFonts w:ascii="宋体" w:hAnsi="宋体" w:cs="宋体"/>
                <w:kern w:val="0"/>
                <w:sz w:val="18"/>
                <w:szCs w:val="18"/>
              </w:rPr>
              <w:t>20</w:t>
            </w:r>
            <w:r>
              <w:rPr>
                <w:rFonts w:ascii="宋体" w:hAnsi="宋体" w:cs="宋体" w:hint="eastAsia"/>
                <w:kern w:val="0"/>
                <w:sz w:val="18"/>
                <w:szCs w:val="18"/>
              </w:rPr>
              <w:t>21</w:t>
            </w:r>
            <w:r w:rsidR="00C03E6A" w:rsidRPr="00632C22">
              <w:rPr>
                <w:rFonts w:ascii="宋体" w:hAnsi="宋体" w:cs="宋体" w:hint="eastAsia"/>
                <w:kern w:val="0"/>
                <w:sz w:val="18"/>
                <w:szCs w:val="18"/>
              </w:rPr>
              <w:t>年</w:t>
            </w:r>
            <w:r w:rsidR="00574A5C">
              <w:rPr>
                <w:rFonts w:ascii="宋体" w:hAnsi="宋体" w:cs="宋体" w:hint="eastAsia"/>
                <w:kern w:val="0"/>
                <w:sz w:val="18"/>
                <w:szCs w:val="18"/>
              </w:rPr>
              <w:t>11</w:t>
            </w:r>
            <w:r w:rsidR="00C03E6A" w:rsidRPr="00632C22">
              <w:rPr>
                <w:rFonts w:ascii="宋体" w:hAnsi="宋体" w:cs="宋体" w:hint="eastAsia"/>
                <w:kern w:val="0"/>
                <w:sz w:val="18"/>
                <w:szCs w:val="18"/>
              </w:rPr>
              <w:t>月</w:t>
            </w:r>
            <w:r w:rsidR="00574A5C">
              <w:rPr>
                <w:rFonts w:ascii="宋体" w:hAnsi="宋体" w:cs="宋体" w:hint="eastAsia"/>
                <w:kern w:val="0"/>
                <w:sz w:val="18"/>
                <w:szCs w:val="18"/>
              </w:rPr>
              <w:t>1</w:t>
            </w:r>
            <w:r w:rsidR="00AA43E0">
              <w:rPr>
                <w:rFonts w:ascii="宋体" w:hAnsi="宋体" w:cs="宋体" w:hint="eastAsia"/>
                <w:kern w:val="0"/>
                <w:sz w:val="18"/>
                <w:szCs w:val="18"/>
              </w:rPr>
              <w:t>0</w:t>
            </w:r>
            <w:r w:rsidR="00C03E6A" w:rsidRPr="00632C22">
              <w:rPr>
                <w:rFonts w:ascii="宋体" w:hAnsi="宋体" w:cs="宋体" w:hint="eastAsia"/>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产品成立日</w:t>
            </w:r>
          </w:p>
        </w:tc>
        <w:tc>
          <w:tcPr>
            <w:tcW w:w="7332" w:type="dxa"/>
            <w:tcMar>
              <w:top w:w="15" w:type="dxa"/>
              <w:left w:w="15" w:type="dxa"/>
              <w:bottom w:w="0" w:type="dxa"/>
              <w:right w:w="15" w:type="dxa"/>
            </w:tcMar>
            <w:vAlign w:val="center"/>
          </w:tcPr>
          <w:p w:rsidR="00C03E6A" w:rsidRPr="00632C22" w:rsidRDefault="00C03E6A" w:rsidP="00C76B25">
            <w:pPr>
              <w:rPr>
                <w:rFonts w:ascii="宋体" w:hAnsi="宋体"/>
                <w:kern w:val="0"/>
              </w:rPr>
            </w:pPr>
            <w:r w:rsidRPr="00632C22">
              <w:rPr>
                <w:rFonts w:ascii="宋体" w:hAnsi="宋体" w:cs="宋体"/>
                <w:kern w:val="0"/>
                <w:sz w:val="18"/>
                <w:szCs w:val="18"/>
              </w:rPr>
              <w:t>20</w:t>
            </w:r>
            <w:r w:rsidR="005D197E">
              <w:rPr>
                <w:rFonts w:ascii="宋体" w:hAnsi="宋体" w:cs="宋体" w:hint="eastAsia"/>
                <w:kern w:val="0"/>
                <w:sz w:val="18"/>
                <w:szCs w:val="18"/>
              </w:rPr>
              <w:t>21</w:t>
            </w:r>
            <w:r w:rsidRPr="00632C22">
              <w:rPr>
                <w:rFonts w:ascii="宋体" w:hAnsi="宋体" w:cs="宋体" w:hint="eastAsia"/>
                <w:kern w:val="0"/>
                <w:sz w:val="18"/>
                <w:szCs w:val="18"/>
              </w:rPr>
              <w:t>年</w:t>
            </w:r>
            <w:r w:rsidR="00574A5C">
              <w:rPr>
                <w:rFonts w:ascii="宋体" w:hAnsi="宋体" w:cs="宋体" w:hint="eastAsia"/>
                <w:kern w:val="0"/>
                <w:sz w:val="18"/>
                <w:szCs w:val="18"/>
              </w:rPr>
              <w:t>11</w:t>
            </w:r>
            <w:r w:rsidRPr="00632C22">
              <w:rPr>
                <w:rFonts w:ascii="宋体" w:hAnsi="宋体" w:cs="宋体" w:hint="eastAsia"/>
                <w:kern w:val="0"/>
                <w:sz w:val="18"/>
                <w:szCs w:val="18"/>
              </w:rPr>
              <w:t>月</w:t>
            </w:r>
            <w:r w:rsidR="00AA43E0">
              <w:rPr>
                <w:rFonts w:ascii="宋体" w:hAnsi="宋体" w:cs="宋体" w:hint="eastAsia"/>
                <w:kern w:val="0"/>
                <w:sz w:val="18"/>
                <w:szCs w:val="18"/>
              </w:rPr>
              <w:t>11</w:t>
            </w:r>
            <w:r w:rsidRPr="00632C22">
              <w:rPr>
                <w:rFonts w:ascii="宋体" w:hAnsi="宋体" w:cs="宋体" w:hint="eastAsia"/>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cs="宋体"/>
                <w:kern w:val="0"/>
                <w:sz w:val="18"/>
                <w:szCs w:val="18"/>
              </w:rPr>
            </w:pPr>
            <w:r w:rsidRPr="00632C22">
              <w:rPr>
                <w:rFonts w:ascii="宋体" w:hAnsi="宋体" w:cs="宋体" w:hint="eastAsia"/>
                <w:kern w:val="0"/>
                <w:sz w:val="18"/>
                <w:szCs w:val="18"/>
              </w:rPr>
              <w:t>产品到期日</w:t>
            </w:r>
          </w:p>
        </w:tc>
        <w:tc>
          <w:tcPr>
            <w:tcW w:w="7332" w:type="dxa"/>
            <w:tcMar>
              <w:top w:w="15" w:type="dxa"/>
              <w:left w:w="15" w:type="dxa"/>
              <w:bottom w:w="0" w:type="dxa"/>
              <w:right w:w="15" w:type="dxa"/>
            </w:tcMar>
            <w:vAlign w:val="center"/>
          </w:tcPr>
          <w:p w:rsidR="00C03E6A" w:rsidRPr="00632C22" w:rsidRDefault="00C03E6A" w:rsidP="00C76B25">
            <w:pPr>
              <w:rPr>
                <w:rFonts w:ascii="宋体" w:hAnsi="宋体" w:cs="宋体"/>
                <w:kern w:val="0"/>
                <w:sz w:val="18"/>
                <w:szCs w:val="18"/>
              </w:rPr>
            </w:pPr>
            <w:r w:rsidRPr="00632C22">
              <w:rPr>
                <w:rFonts w:ascii="宋体" w:hAnsi="宋体" w:cs="宋体"/>
                <w:kern w:val="0"/>
                <w:sz w:val="18"/>
                <w:szCs w:val="18"/>
              </w:rPr>
              <w:t>20</w:t>
            </w:r>
            <w:r w:rsidR="00E5194C">
              <w:rPr>
                <w:rFonts w:ascii="宋体" w:hAnsi="宋体" w:cs="宋体" w:hint="eastAsia"/>
                <w:kern w:val="0"/>
                <w:sz w:val="18"/>
                <w:szCs w:val="18"/>
              </w:rPr>
              <w:t>22</w:t>
            </w:r>
            <w:r w:rsidRPr="00632C22">
              <w:rPr>
                <w:rFonts w:ascii="宋体" w:hAnsi="宋体" w:cs="宋体" w:hint="eastAsia"/>
                <w:kern w:val="0"/>
                <w:sz w:val="18"/>
                <w:szCs w:val="18"/>
              </w:rPr>
              <w:t>年</w:t>
            </w:r>
            <w:r w:rsidR="00617DD3">
              <w:rPr>
                <w:rFonts w:ascii="宋体" w:hAnsi="宋体" w:cs="宋体" w:hint="eastAsia"/>
                <w:kern w:val="0"/>
                <w:sz w:val="18"/>
                <w:szCs w:val="18"/>
              </w:rPr>
              <w:t>4</w:t>
            </w:r>
            <w:r w:rsidRPr="00632C22">
              <w:rPr>
                <w:rFonts w:ascii="宋体" w:hAnsi="宋体" w:cs="宋体" w:hint="eastAsia"/>
                <w:kern w:val="0"/>
                <w:sz w:val="18"/>
                <w:szCs w:val="18"/>
              </w:rPr>
              <w:t>月</w:t>
            </w:r>
            <w:r w:rsidR="00AA43E0">
              <w:rPr>
                <w:rFonts w:ascii="宋体" w:hAnsi="宋体" w:cs="宋体" w:hint="eastAsia"/>
                <w:kern w:val="0"/>
                <w:sz w:val="18"/>
                <w:szCs w:val="18"/>
              </w:rPr>
              <w:t>13</w:t>
            </w:r>
            <w:r w:rsidRPr="00632C22">
              <w:rPr>
                <w:rFonts w:ascii="宋体" w:hAnsi="宋体" w:cs="宋体" w:hint="eastAsia"/>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cs="宋体"/>
                <w:kern w:val="0"/>
                <w:sz w:val="18"/>
                <w:szCs w:val="18"/>
              </w:rPr>
            </w:pPr>
            <w:r w:rsidRPr="00632C22">
              <w:rPr>
                <w:rFonts w:ascii="宋体" w:hAnsi="宋体" w:cs="宋体" w:hint="eastAsia"/>
                <w:kern w:val="0"/>
                <w:sz w:val="18"/>
                <w:szCs w:val="18"/>
              </w:rPr>
              <w:t>理财期限</w:t>
            </w:r>
          </w:p>
        </w:tc>
        <w:tc>
          <w:tcPr>
            <w:tcW w:w="7332" w:type="dxa"/>
            <w:tcMar>
              <w:top w:w="15" w:type="dxa"/>
              <w:left w:w="15" w:type="dxa"/>
              <w:bottom w:w="0" w:type="dxa"/>
              <w:right w:w="15" w:type="dxa"/>
            </w:tcMar>
            <w:vAlign w:val="center"/>
          </w:tcPr>
          <w:p w:rsidR="00C03E6A" w:rsidRPr="00632C22" w:rsidRDefault="00AA43E0" w:rsidP="00DB1EBC">
            <w:pPr>
              <w:rPr>
                <w:rFonts w:ascii="宋体" w:hAnsi="宋体" w:cs="宋体"/>
                <w:kern w:val="0"/>
                <w:sz w:val="18"/>
                <w:szCs w:val="18"/>
              </w:rPr>
            </w:pPr>
            <w:r>
              <w:rPr>
                <w:rFonts w:ascii="宋体" w:hAnsi="宋体" w:cs="宋体" w:hint="eastAsia"/>
                <w:kern w:val="0"/>
                <w:sz w:val="18"/>
                <w:szCs w:val="18"/>
              </w:rPr>
              <w:t>153</w:t>
            </w:r>
            <w:r w:rsidR="00C03E6A" w:rsidRPr="00632C22">
              <w:rPr>
                <w:rFonts w:ascii="宋体" w:hAnsi="宋体" w:cs="宋体" w:hint="eastAsia"/>
                <w:kern w:val="0"/>
                <w:sz w:val="18"/>
                <w:szCs w:val="18"/>
              </w:rPr>
              <w:t>天</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bCs/>
                <w:color w:val="000000"/>
                <w:kern w:val="0"/>
                <w:sz w:val="18"/>
                <w:szCs w:val="18"/>
              </w:rPr>
              <w:t>正常兑付情况下投资收益及理财本金将于理财产品到期日后的2个工作日内到帐。理财产品到期日至投资者资金到账日之间不计利息。</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C03E6A" w:rsidRPr="00AB67C0" w:rsidRDefault="00C03E6A" w:rsidP="00E739A0">
            <w:pPr>
              <w:rPr>
                <w:rFonts w:ascii="宋体" w:hAnsi="宋体" w:cs="宋体"/>
                <w:color w:val="FF0000"/>
                <w:kern w:val="0"/>
                <w:sz w:val="18"/>
                <w:szCs w:val="18"/>
              </w:rPr>
            </w:pPr>
            <w:r w:rsidRPr="00AB67C0">
              <w:rPr>
                <w:rFonts w:ascii="宋体" w:hAnsi="宋体" w:cs="宋体" w:hint="eastAsia"/>
                <w:color w:val="000000"/>
                <w:kern w:val="0"/>
                <w:sz w:val="18"/>
                <w:szCs w:val="18"/>
              </w:rPr>
              <w:t>单位净值为提取相关税费后，单位理财计划份额的净值。</w:t>
            </w:r>
            <w:r w:rsidRPr="00AB67C0">
              <w:rPr>
                <w:rFonts w:ascii="宋体" w:hAnsi="宋体" w:cs="宋体" w:hint="eastAsia"/>
                <w:kern w:val="0"/>
                <w:sz w:val="18"/>
                <w:szCs w:val="18"/>
              </w:rPr>
              <w:t>理财计划单位净值保留至小数点后第</w:t>
            </w:r>
            <w:r w:rsidR="00C85400">
              <w:rPr>
                <w:rFonts w:ascii="宋体" w:hAnsi="宋体" w:cs="宋体" w:hint="eastAsia"/>
                <w:kern w:val="0"/>
                <w:sz w:val="18"/>
                <w:szCs w:val="18"/>
              </w:rPr>
              <w:t>8</w:t>
            </w:r>
            <w:r w:rsidRPr="00AB67C0">
              <w:rPr>
                <w:rFonts w:ascii="宋体" w:hAnsi="宋体" w:cs="宋体" w:hint="eastAsia"/>
                <w:kern w:val="0"/>
                <w:sz w:val="18"/>
                <w:szCs w:val="18"/>
              </w:rPr>
              <w:t>位，小数点</w:t>
            </w:r>
            <w:r w:rsidR="00C85400">
              <w:rPr>
                <w:rFonts w:ascii="宋体" w:hAnsi="宋体" w:cs="宋体" w:hint="eastAsia"/>
                <w:kern w:val="0"/>
                <w:sz w:val="18"/>
                <w:szCs w:val="18"/>
              </w:rPr>
              <w:t>8</w:t>
            </w:r>
            <w:r w:rsidRPr="00AB67C0">
              <w:rPr>
                <w:rFonts w:ascii="宋体" w:hAnsi="宋体" w:cs="宋体" w:hint="eastAsia"/>
                <w:kern w:val="0"/>
                <w:sz w:val="18"/>
                <w:szCs w:val="18"/>
              </w:rPr>
              <w:t>位以后</w:t>
            </w:r>
            <w:r w:rsidR="00E739A0">
              <w:rPr>
                <w:rFonts w:ascii="宋体" w:hAnsi="宋体" w:cs="宋体" w:hint="eastAsia"/>
                <w:kern w:val="0"/>
                <w:sz w:val="18"/>
                <w:szCs w:val="18"/>
              </w:rPr>
              <w:t>四舍五入。</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业绩比较基准</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olor w:val="000000"/>
                <w:kern w:val="0"/>
                <w:sz w:val="18"/>
                <w:szCs w:val="18"/>
              </w:rPr>
            </w:pPr>
            <w:r w:rsidRPr="00AB67C0">
              <w:rPr>
                <w:rFonts w:ascii="宋体" w:hAnsi="宋体" w:cs="宋体" w:hint="eastAsia"/>
                <w:color w:val="000000"/>
                <w:kern w:val="0"/>
                <w:sz w:val="18"/>
                <w:szCs w:val="18"/>
              </w:rPr>
              <w:t>本理财产品业绩比较基准为年</w:t>
            </w:r>
            <w:r w:rsidRPr="00632C22">
              <w:rPr>
                <w:rFonts w:ascii="宋体" w:hAnsi="宋体" w:cs="宋体" w:hint="eastAsia"/>
                <w:kern w:val="0"/>
                <w:sz w:val="18"/>
                <w:szCs w:val="18"/>
              </w:rPr>
              <w:t>化</w:t>
            </w:r>
            <w:r w:rsidR="009D79C1">
              <w:rPr>
                <w:rFonts w:ascii="宋体" w:hAnsi="宋体" w:cs="宋体" w:hint="eastAsia"/>
                <w:kern w:val="0"/>
                <w:sz w:val="18"/>
                <w:szCs w:val="18"/>
              </w:rPr>
              <w:t>4.0</w:t>
            </w:r>
            <w:bookmarkStart w:id="0" w:name="_GoBack"/>
            <w:bookmarkEnd w:id="0"/>
            <w:r w:rsidR="003D0151">
              <w:rPr>
                <w:rFonts w:ascii="宋体" w:hAnsi="宋体" w:cs="宋体" w:hint="eastAsia"/>
                <w:kern w:val="0"/>
                <w:sz w:val="18"/>
                <w:szCs w:val="18"/>
              </w:rPr>
              <w:t>%</w:t>
            </w:r>
            <w:r w:rsidRPr="00632C22">
              <w:rPr>
                <w:rFonts w:ascii="宋体" w:hAnsi="宋体" w:cs="宋体" w:hint="eastAsia"/>
                <w:kern w:val="0"/>
                <w:sz w:val="18"/>
                <w:szCs w:val="18"/>
              </w:rPr>
              <w:t>。管理人有权于确认日前</w:t>
            </w:r>
            <w:r w:rsidRPr="00632C22">
              <w:rPr>
                <w:rFonts w:ascii="宋体" w:hAnsi="宋体" w:cs="宋体"/>
                <w:kern w:val="0"/>
                <w:sz w:val="18"/>
                <w:szCs w:val="18"/>
              </w:rPr>
              <w:t>3</w:t>
            </w:r>
            <w:r w:rsidRPr="00632C22">
              <w:rPr>
                <w:rFonts w:ascii="宋体" w:hAnsi="宋体" w:cs="宋体" w:hint="eastAsia"/>
                <w:kern w:val="0"/>
                <w:sz w:val="18"/>
                <w:szCs w:val="18"/>
              </w:rPr>
              <w:t>个工作日调整业绩比较基准，并在新昌农商银行官网公告。</w:t>
            </w:r>
          </w:p>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本产品为净值型理财产品，没有预期收益率。本行提醒投资者关注，业绩比较基准并不代表实际收益率。</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本金和理财收益</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s="宋体"/>
                <w:color w:val="000000"/>
                <w:kern w:val="0"/>
                <w:sz w:val="18"/>
                <w:szCs w:val="18"/>
              </w:rPr>
            </w:pPr>
            <w:r w:rsidRPr="00AB67C0">
              <w:rPr>
                <w:rFonts w:ascii="宋体" w:hAnsi="宋体" w:cs="宋体" w:hint="eastAsia"/>
                <w:color w:val="000000"/>
                <w:kern w:val="0"/>
                <w:sz w:val="18"/>
                <w:szCs w:val="18"/>
              </w:rPr>
              <w:t>本理财产品不保障本金和收益。</w:t>
            </w:r>
          </w:p>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投资者理财收益＝理财产品投资份额×产品期末单位净值</w:t>
            </w:r>
            <w:r w:rsidRPr="00AB67C0">
              <w:rPr>
                <w:rFonts w:ascii="宋体" w:hAnsi="宋体" w:cs="宋体"/>
                <w:color w:val="000000"/>
                <w:kern w:val="0"/>
                <w:sz w:val="18"/>
                <w:szCs w:val="18"/>
              </w:rPr>
              <w:t>-</w:t>
            </w:r>
            <w:r w:rsidR="00DB1EBC">
              <w:rPr>
                <w:rFonts w:ascii="宋体" w:hAnsi="宋体" w:cs="宋体" w:hint="eastAsia"/>
                <w:color w:val="000000"/>
                <w:kern w:val="0"/>
                <w:sz w:val="18"/>
                <w:szCs w:val="18"/>
              </w:rPr>
              <w:t>客户投资本金</w:t>
            </w:r>
            <w:r w:rsidR="00DB1EBC" w:rsidRPr="00AB67C0">
              <w:rPr>
                <w:rFonts w:ascii="宋体" w:hAnsi="宋体" w:cs="宋体" w:hint="eastAsia"/>
                <w:color w:val="000000"/>
                <w:kern w:val="0"/>
                <w:sz w:val="18"/>
                <w:szCs w:val="18"/>
              </w:rPr>
              <w:t>。</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相关费用</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本产品不收取认购费。</w:t>
            </w:r>
          </w:p>
          <w:p w:rsidR="00B41F69"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本产品托管人按照产品存续规模收取年化</w:t>
            </w:r>
            <w:r w:rsidRPr="00AB67C0">
              <w:rPr>
                <w:rFonts w:ascii="宋体" w:hAnsi="宋体" w:cs="宋体"/>
                <w:color w:val="000000"/>
                <w:kern w:val="0"/>
                <w:sz w:val="18"/>
                <w:szCs w:val="18"/>
              </w:rPr>
              <w:t>0.015%</w:t>
            </w:r>
            <w:r w:rsidRPr="00AB67C0">
              <w:rPr>
                <w:rFonts w:ascii="宋体" w:hAnsi="宋体" w:cs="宋体" w:hint="eastAsia"/>
                <w:color w:val="000000"/>
                <w:kern w:val="0"/>
                <w:sz w:val="18"/>
                <w:szCs w:val="18"/>
              </w:rPr>
              <w:t>的托管费。每日计提，于产品到期支付。</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理财管理人根据理财计划投资情况计算浮动管理费，本理财产品投资周期年化收益率超过业绩比较基准的部分</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管理人提取</w:t>
            </w:r>
            <w:r w:rsidRPr="00AB67C0">
              <w:rPr>
                <w:rFonts w:ascii="宋体" w:hAnsi="宋体" w:cs="宋体"/>
                <w:color w:val="000000"/>
                <w:kern w:val="0"/>
                <w:sz w:val="18"/>
                <w:szCs w:val="18"/>
              </w:rPr>
              <w:t>作为浮动管理费。</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lastRenderedPageBreak/>
              <w:t>提前终止权</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理财计划存续期内，客户无提前终止权；新昌农商银行有权宣布终止本理财计划。</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本理财产品不能办理质押和转让业务。</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支付给客户的理财收益的应纳税款由客户自行申报及缴纳。</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color w:val="000000"/>
                <w:kern w:val="0"/>
                <w:sz w:val="18"/>
                <w:szCs w:val="18"/>
              </w:rPr>
              <w:t>1.</w:t>
            </w:r>
            <w:r w:rsidRPr="00AB67C0">
              <w:rPr>
                <w:rFonts w:ascii="宋体" w:hAnsi="宋体" w:cs="宋体" w:hint="eastAsia"/>
                <w:color w:val="000000"/>
                <w:kern w:val="0"/>
                <w:sz w:val="18"/>
                <w:szCs w:val="18"/>
              </w:rPr>
              <w:t>认购期内，客户认购资金按当时实行的活期利率计息，募集期内的利息所得不计入认购金额。</w:t>
            </w:r>
          </w:p>
          <w:p w:rsidR="00C03E6A" w:rsidRPr="00AB67C0" w:rsidRDefault="00C03E6A" w:rsidP="001D0CAB">
            <w:pPr>
              <w:autoSpaceDE w:val="0"/>
              <w:autoSpaceDN w:val="0"/>
              <w:adjustRightInd w:val="0"/>
              <w:rPr>
                <w:rFonts w:ascii="宋体" w:hAnsi="宋体"/>
                <w:color w:val="000000"/>
                <w:kern w:val="0"/>
                <w:sz w:val="18"/>
                <w:szCs w:val="18"/>
              </w:rPr>
            </w:pPr>
            <w:r w:rsidRPr="00AB67C0">
              <w:rPr>
                <w:rFonts w:ascii="宋体" w:hAnsi="宋体" w:cs="宋体"/>
                <w:color w:val="000000"/>
                <w:kern w:val="0"/>
                <w:sz w:val="18"/>
                <w:szCs w:val="18"/>
              </w:rPr>
              <w:t>2.</w:t>
            </w:r>
            <w:r w:rsidRPr="00AB67C0">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C03E6A" w:rsidRPr="00AB67C0" w:rsidRDefault="00C03E6A" w:rsidP="001D0CAB">
            <w:pPr>
              <w:autoSpaceDE w:val="0"/>
              <w:autoSpaceDN w:val="0"/>
              <w:adjustRightInd w:val="0"/>
              <w:rPr>
                <w:rFonts w:ascii="宋体" w:hAnsi="宋体" w:cs="宋体"/>
                <w:color w:val="000000"/>
                <w:kern w:val="0"/>
                <w:sz w:val="18"/>
                <w:szCs w:val="18"/>
              </w:rPr>
            </w:pP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新昌农商银行有权根据市场情况和本产品运作情况，对本理财计划的收费项目、条件、标准和方式进行调整。</w:t>
            </w:r>
          </w:p>
          <w:p w:rsidR="00C03E6A" w:rsidRPr="00AB67C0" w:rsidRDefault="00C03E6A" w:rsidP="001D0CAB">
            <w:pPr>
              <w:autoSpaceDE w:val="0"/>
              <w:autoSpaceDN w:val="0"/>
              <w:adjustRightInd w:val="0"/>
              <w:rPr>
                <w:rFonts w:ascii="宋体" w:hAnsi="宋体"/>
                <w:color w:val="000000"/>
                <w:kern w:val="0"/>
              </w:rPr>
            </w:pPr>
            <w:r w:rsidRPr="00AB67C0">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C03E6A" w:rsidRPr="00AB67C0" w:rsidRDefault="00C03E6A" w:rsidP="00C03E6A">
      <w:pPr>
        <w:spacing w:line="360" w:lineRule="auto"/>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C03E6A">
      <w:pPr>
        <w:spacing w:line="360" w:lineRule="auto"/>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（三）估值目的 </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C03E6A">
      <w:pPr>
        <w:pStyle w:val="a5"/>
        <w:numPr>
          <w:ilvl w:val="0"/>
          <w:numId w:val="4"/>
        </w:numPr>
        <w:spacing w:line="360" w:lineRule="auto"/>
        <w:ind w:firstLineChars="0"/>
        <w:rPr>
          <w:rFonts w:ascii="宋体" w:hAnsi="宋体" w:cs="Times New Roman"/>
          <w:color w:val="000000"/>
          <w:kern w:val="0"/>
        </w:rPr>
      </w:pPr>
      <w:r w:rsidRPr="00AB67C0">
        <w:rPr>
          <w:rFonts w:ascii="宋体" w:hAnsi="宋体" w:cs="宋体" w:hint="eastAsia"/>
          <w:color w:val="000000"/>
          <w:kern w:val="0"/>
        </w:rPr>
        <w:t>估值方式</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3.银行存款以本金列示，逐日计提利息；</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4.货币基金以按基金管理公司公布的估值日前一交易日的每万份收益计提红利；</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lastRenderedPageBreak/>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C03E6A">
      <w:pPr>
        <w:spacing w:line="360" w:lineRule="auto"/>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B41F69" w:rsidRPr="00B41F69" w:rsidRDefault="00C03E6A" w:rsidP="00B41F69">
      <w:pPr>
        <w:spacing w:line="360" w:lineRule="auto"/>
        <w:ind w:firstLineChars="200" w:firstLine="420"/>
        <w:rPr>
          <w:rFonts w:ascii="宋体" w:hAnsi="宋体"/>
          <w:kern w:val="0"/>
          <w:sz w:val="24"/>
          <w:szCs w:val="24"/>
        </w:rPr>
      </w:pPr>
      <w:r w:rsidRPr="00AB67C0">
        <w:rPr>
          <w:rFonts w:ascii="宋体" w:hAnsi="宋体" w:cs="宋体" w:hint="eastAsia"/>
          <w:kern w:val="0"/>
        </w:rPr>
        <w:t>（二）本理财计划的各相关费用</w:t>
      </w:r>
    </w:p>
    <w:p w:rsidR="00E5194C" w:rsidRPr="00AB67C0" w:rsidRDefault="00E5194C" w:rsidP="00E5194C">
      <w:pPr>
        <w:pStyle w:val="ListParagraph1"/>
        <w:spacing w:line="360" w:lineRule="auto"/>
        <w:ind w:firstLineChars="0"/>
        <w:rPr>
          <w:rFonts w:ascii="宋体" w:hAnsi="宋体" w:cs="Times New Roman"/>
          <w:kern w:val="0"/>
        </w:rPr>
      </w:pPr>
      <w:r>
        <w:rPr>
          <w:rFonts w:ascii="宋体" w:hAnsi="宋体" w:cs="宋体" w:hint="eastAsia"/>
          <w:kern w:val="0"/>
        </w:rPr>
        <w:t>1</w:t>
      </w:r>
      <w:r w:rsidRPr="00AB67C0">
        <w:rPr>
          <w:rFonts w:ascii="宋体" w:hAnsi="宋体" w:cs="宋体"/>
          <w:kern w:val="0"/>
        </w:rPr>
        <w:t>.</w:t>
      </w:r>
      <w:r w:rsidRPr="00AB67C0">
        <w:rPr>
          <w:rFonts w:ascii="宋体" w:hAnsi="宋体" w:cs="宋体" w:hint="eastAsia"/>
          <w:kern w:val="0"/>
        </w:rPr>
        <w:t>理财托管人的托管费</w:t>
      </w:r>
    </w:p>
    <w:p w:rsidR="00E5194C" w:rsidRPr="00AB67C0" w:rsidRDefault="00E5194C" w:rsidP="00E5194C">
      <w:pPr>
        <w:spacing w:line="360" w:lineRule="auto"/>
        <w:ind w:firstLineChars="200" w:firstLine="420"/>
        <w:rPr>
          <w:rFonts w:ascii="宋体" w:hAnsi="宋体"/>
          <w:kern w:val="0"/>
        </w:rPr>
      </w:pPr>
      <w:r w:rsidRPr="00AB67C0">
        <w:rPr>
          <w:rFonts w:ascii="宋体" w:hAnsi="宋体" w:cs="宋体" w:hint="eastAsia"/>
          <w:kern w:val="0"/>
        </w:rPr>
        <w:t>本理财计划按照年化</w:t>
      </w:r>
      <w:r w:rsidRPr="00AB67C0">
        <w:rPr>
          <w:rFonts w:ascii="宋体" w:hAnsi="宋体" w:cs="宋体"/>
          <w:kern w:val="0"/>
        </w:rPr>
        <w:t>0.015%</w:t>
      </w:r>
      <w:r w:rsidRPr="00AB67C0">
        <w:rPr>
          <w:rFonts w:ascii="宋体" w:hAnsi="宋体" w:cs="宋体" w:hint="eastAsia"/>
          <w:kern w:val="0"/>
        </w:rPr>
        <w:t>的固定费率收取托管费。本产品每日计提的托管费计算方式为：该前一日资产净值×0.015</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E5194C" w:rsidRPr="00AB67C0" w:rsidRDefault="00E5194C" w:rsidP="00E5194C">
      <w:pPr>
        <w:spacing w:line="360" w:lineRule="auto"/>
        <w:ind w:firstLineChars="200" w:firstLine="420"/>
        <w:rPr>
          <w:rFonts w:ascii="宋体" w:hAnsi="宋体" w:cs="宋体"/>
          <w:kern w:val="0"/>
        </w:rPr>
      </w:pPr>
      <w:r w:rsidRPr="00AB67C0">
        <w:rPr>
          <w:rFonts w:ascii="宋体" w:hAnsi="宋体" w:cs="宋体" w:hint="eastAsia"/>
          <w:kern w:val="0"/>
        </w:rPr>
        <w:t>托管费按日计提，于产品结束时收取。</w:t>
      </w:r>
    </w:p>
    <w:p w:rsidR="00E5194C" w:rsidRDefault="00E5194C" w:rsidP="00E5194C">
      <w:pPr>
        <w:spacing w:line="360" w:lineRule="auto"/>
        <w:ind w:firstLineChars="200" w:firstLine="420"/>
        <w:rPr>
          <w:rFonts w:ascii="宋体" w:hAnsi="宋体" w:cs="宋体"/>
          <w:kern w:val="0"/>
        </w:rPr>
      </w:pPr>
      <w:r>
        <w:rPr>
          <w:rFonts w:ascii="宋体" w:hAnsi="宋体" w:cs="宋体" w:hint="eastAsia"/>
          <w:kern w:val="0"/>
        </w:rPr>
        <w:t>2</w:t>
      </w:r>
      <w:r w:rsidRPr="00AB67C0">
        <w:rPr>
          <w:rFonts w:ascii="宋体" w:hAnsi="宋体" w:cs="宋体" w:hint="eastAsia"/>
          <w:kern w:val="0"/>
        </w:rPr>
        <w:t>.本产品不收取估值外包服务费。</w:t>
      </w:r>
    </w:p>
    <w:p w:rsidR="00E5194C" w:rsidRPr="00AB67C0" w:rsidRDefault="00E5194C" w:rsidP="00E5194C">
      <w:pPr>
        <w:pStyle w:val="ListParagraph1"/>
        <w:widowControl/>
        <w:spacing w:line="360" w:lineRule="auto"/>
        <w:ind w:firstLineChars="0"/>
        <w:contextualSpacing/>
        <w:rPr>
          <w:rFonts w:ascii="宋体" w:hAnsi="宋体" w:cs="宋体"/>
          <w:kern w:val="0"/>
        </w:rPr>
      </w:pPr>
      <w:r>
        <w:rPr>
          <w:rFonts w:ascii="宋体" w:hAnsi="宋体" w:cs="宋体" w:hint="eastAsia"/>
          <w:kern w:val="0"/>
        </w:rPr>
        <w:t>3</w:t>
      </w:r>
      <w:r w:rsidRPr="00AB67C0">
        <w:rPr>
          <w:rFonts w:ascii="宋体" w:hAnsi="宋体" w:cs="宋体"/>
          <w:kern w:val="0"/>
        </w:rPr>
        <w:t>.</w:t>
      </w:r>
      <w:r w:rsidRPr="00AB67C0">
        <w:rPr>
          <w:rFonts w:ascii="宋体" w:hAnsi="宋体" w:cs="宋体" w:hint="eastAsia"/>
          <w:kern w:val="0"/>
        </w:rPr>
        <w:t>浮动管理费</w:t>
      </w:r>
    </w:p>
    <w:p w:rsidR="00E5194C" w:rsidRPr="00AB67C0" w:rsidRDefault="00E5194C" w:rsidP="00E5194C">
      <w:pPr>
        <w:widowControl/>
        <w:spacing w:line="360" w:lineRule="auto"/>
        <w:contextualSpacing/>
        <w:rPr>
          <w:rFonts w:ascii="宋体" w:hAnsi="宋体" w:cs="宋体"/>
          <w:kern w:val="0"/>
        </w:rPr>
      </w:pPr>
      <w:r w:rsidRPr="00AB67C0">
        <w:rPr>
          <w:rFonts w:ascii="宋体" w:hAnsi="宋体" w:hint="eastAsia"/>
        </w:rPr>
        <w:t xml:space="preserve">    理财管理人根据理财计划投资情况计算浮动管理费，</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hint="eastAsia"/>
        </w:rPr>
        <w:t>超过业绩比较基准的部分</w:t>
      </w:r>
      <w:r>
        <w:rPr>
          <w:rFonts w:ascii="宋体" w:hAnsi="宋体" w:hint="eastAsia"/>
        </w:rPr>
        <w:t>属于</w:t>
      </w:r>
      <w:r w:rsidRPr="00AB67C0">
        <w:rPr>
          <w:rFonts w:ascii="宋体" w:hAnsi="宋体" w:hint="eastAsia"/>
        </w:rPr>
        <w:t>管理人作为浮动管理费，</w:t>
      </w:r>
      <w:r w:rsidRPr="00AB67C0">
        <w:rPr>
          <w:rFonts w:ascii="宋体" w:hAnsi="宋体" w:cs="宋体" w:hint="eastAsia"/>
          <w:kern w:val="0"/>
        </w:rPr>
        <w:t>于产品结束时收取</w:t>
      </w:r>
      <w:r w:rsidRPr="00AB67C0">
        <w:rPr>
          <w:rFonts w:ascii="宋体" w:hAnsi="宋体" w:hint="eastAsia"/>
        </w:rPr>
        <w:t>；</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cs="宋体" w:hint="eastAsia"/>
          <w:bCs/>
        </w:rPr>
        <w:t>若小于或等于业绩比较基准则不收取浮动管理费。</w:t>
      </w:r>
      <w:r w:rsidRPr="00AB67C0">
        <w:rPr>
          <w:rFonts w:ascii="宋体" w:hAnsi="宋体" w:cs="宋体" w:hint="eastAsia"/>
          <w:kern w:val="0"/>
        </w:rPr>
        <w:t>新昌农商银行保留变更上述收取费率标准的权利，如有变更，将提前</w:t>
      </w:r>
      <w:r w:rsidRPr="00AB67C0">
        <w:rPr>
          <w:rFonts w:ascii="宋体" w:hAnsi="宋体" w:cs="宋体"/>
          <w:kern w:val="0"/>
        </w:rPr>
        <w:t>1</w:t>
      </w:r>
      <w:r w:rsidRPr="00AB67C0">
        <w:rPr>
          <w:rFonts w:ascii="宋体" w:hAnsi="宋体" w:cs="宋体" w:hint="eastAsia"/>
          <w:kern w:val="0"/>
        </w:rPr>
        <w:t>个工作日在新昌农商银行网站或新昌农商银行营业网点公告。</w:t>
      </w:r>
    </w:p>
    <w:p w:rsidR="00E5194C" w:rsidRPr="00AB67C0" w:rsidRDefault="00E5194C" w:rsidP="00E5194C">
      <w:pPr>
        <w:spacing w:line="360" w:lineRule="auto"/>
        <w:ind w:firstLineChars="200" w:firstLine="420"/>
        <w:rPr>
          <w:rFonts w:ascii="宋体" w:hAnsi="宋体"/>
          <w:kern w:val="0"/>
        </w:rPr>
      </w:pPr>
      <w:r w:rsidRPr="00AB67C0">
        <w:rPr>
          <w:rFonts w:ascii="宋体" w:hAnsi="宋体" w:cs="宋体" w:hint="eastAsia"/>
          <w:kern w:val="0"/>
        </w:rPr>
        <w:lastRenderedPageBreak/>
        <w:t>（三）收益示例说明</w:t>
      </w:r>
    </w:p>
    <w:p w:rsidR="00E5194C" w:rsidRPr="00AB67C0" w:rsidRDefault="00E5194C" w:rsidP="00E5194C">
      <w:pPr>
        <w:spacing w:line="360" w:lineRule="auto"/>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E5194C" w:rsidRPr="00AB67C0" w:rsidRDefault="00E5194C" w:rsidP="00E5194C">
      <w:pPr>
        <w:spacing w:line="360" w:lineRule="auto"/>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份。假设管理人提取超过业绩基准部分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E5194C" w:rsidRPr="00AB67C0" w:rsidRDefault="00E5194C" w:rsidP="00E5194C">
      <w:pPr>
        <w:widowControl/>
        <w:spacing w:line="360" w:lineRule="auto"/>
        <w:ind w:firstLineChars="200" w:firstLine="420"/>
        <w:contextualSpacing/>
        <w:rPr>
          <w:rFonts w:ascii="宋体" w:hAnsi="宋体"/>
        </w:rPr>
      </w:pPr>
      <w:r w:rsidRPr="00AB67C0">
        <w:rPr>
          <w:rFonts w:ascii="宋体" w:hAnsi="宋体" w:hint="eastAsia"/>
        </w:rPr>
        <w:t>100,000.00×1.00×(6.20%-5.60%)×362÷365=</w:t>
      </w:r>
      <w:r>
        <w:rPr>
          <w:rFonts w:ascii="宋体" w:hAnsi="宋体" w:hint="eastAsia"/>
        </w:rPr>
        <w:t>595.07</w:t>
      </w:r>
      <w:r w:rsidRPr="00AB67C0">
        <w:rPr>
          <w:rFonts w:ascii="宋体" w:hAnsi="宋体" w:hint="eastAsia"/>
        </w:rPr>
        <w:t>（元）</w:t>
      </w:r>
    </w:p>
    <w:p w:rsidR="00E5194C" w:rsidRPr="00AB67C0" w:rsidRDefault="00E5194C" w:rsidP="00E5194C">
      <w:pPr>
        <w:widowControl/>
        <w:spacing w:line="360" w:lineRule="auto"/>
        <w:ind w:firstLineChars="200" w:firstLine="420"/>
        <w:contextualSpacing/>
        <w:rPr>
          <w:rFonts w:ascii="宋体" w:hAnsi="宋体"/>
        </w:rPr>
      </w:pPr>
      <w:r w:rsidRPr="00AB67C0">
        <w:rPr>
          <w:rFonts w:ascii="宋体" w:hAnsi="宋体" w:hint="eastAsia"/>
        </w:rPr>
        <w:t>扣除浮动管理费后，客户最终收益为：</w:t>
      </w:r>
    </w:p>
    <w:p w:rsidR="00E5194C" w:rsidRPr="00AB67C0" w:rsidRDefault="00E5194C" w:rsidP="00E5194C">
      <w:pPr>
        <w:spacing w:line="360" w:lineRule="auto"/>
        <w:ind w:firstLineChars="196" w:firstLine="412"/>
        <w:rPr>
          <w:rFonts w:ascii="宋体" w:hAnsi="宋体"/>
        </w:rPr>
      </w:pPr>
      <w:r w:rsidRPr="00AB67C0">
        <w:rPr>
          <w:rFonts w:ascii="宋体" w:hAnsi="宋体" w:hint="eastAsia"/>
        </w:rPr>
        <w:t>100,000.00×（1.0615-1.00）-</w:t>
      </w:r>
      <w:r>
        <w:rPr>
          <w:rFonts w:ascii="宋体" w:hAnsi="宋体" w:hint="eastAsia"/>
        </w:rPr>
        <w:t>595.07</w:t>
      </w:r>
      <w:r w:rsidRPr="00AB67C0">
        <w:rPr>
          <w:rFonts w:ascii="宋体" w:hAnsi="宋体" w:hint="eastAsia"/>
        </w:rPr>
        <w:t>=5,</w:t>
      </w:r>
      <w:r>
        <w:rPr>
          <w:rFonts w:ascii="宋体" w:hAnsi="宋体" w:hint="eastAsia"/>
        </w:rPr>
        <w:t>554</w:t>
      </w:r>
      <w:r w:rsidRPr="00AB67C0">
        <w:rPr>
          <w:rFonts w:ascii="宋体" w:hAnsi="宋体" w:hint="eastAsia"/>
        </w:rPr>
        <w:t>.95（元），产品到期时，客户获得的实际收益相当于达到年化收益率水平为：5,</w:t>
      </w:r>
      <w:r>
        <w:rPr>
          <w:rFonts w:ascii="宋体" w:hAnsi="宋体" w:hint="eastAsia"/>
        </w:rPr>
        <w:t>554</w:t>
      </w:r>
      <w:r w:rsidRPr="00AB67C0">
        <w:rPr>
          <w:rFonts w:ascii="宋体" w:hAnsi="宋体" w:hint="eastAsia"/>
        </w:rPr>
        <w:t>.95/100,000.00×</w:t>
      </w:r>
      <w:r>
        <w:rPr>
          <w:rFonts w:ascii="宋体" w:hAnsi="宋体" w:hint="eastAsia"/>
        </w:rPr>
        <w:t>365/362=5.6</w:t>
      </w:r>
      <w:r w:rsidRPr="00AB67C0">
        <w:rPr>
          <w:rFonts w:ascii="宋体" w:hAnsi="宋体" w:hint="eastAsia"/>
        </w:rPr>
        <w:t>%。</w:t>
      </w:r>
    </w:p>
    <w:p w:rsidR="00E5194C" w:rsidRPr="00AB67C0" w:rsidRDefault="00E5194C" w:rsidP="00E5194C">
      <w:pPr>
        <w:spacing w:line="360" w:lineRule="auto"/>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E5194C" w:rsidRPr="00AB67C0" w:rsidRDefault="00E5194C" w:rsidP="00E5194C">
      <w:pPr>
        <w:widowControl/>
        <w:spacing w:line="360" w:lineRule="auto"/>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E5194C" w:rsidRPr="00AB67C0" w:rsidRDefault="00E5194C" w:rsidP="00E5194C">
      <w:pPr>
        <w:spacing w:line="360" w:lineRule="auto"/>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E5194C" w:rsidRPr="00AB67C0" w:rsidRDefault="00E5194C" w:rsidP="00E5194C">
      <w:pPr>
        <w:spacing w:line="360" w:lineRule="auto"/>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E5194C" w:rsidRPr="00AB67C0" w:rsidRDefault="00E5194C" w:rsidP="00E5194C">
      <w:pPr>
        <w:spacing w:line="360" w:lineRule="auto"/>
        <w:ind w:firstLineChars="200" w:firstLine="420"/>
        <w:rPr>
          <w:rFonts w:ascii="宋体" w:hAnsi="宋体"/>
        </w:rPr>
      </w:pPr>
      <w:r w:rsidRPr="00AB67C0">
        <w:rPr>
          <w:rFonts w:ascii="宋体" w:hAnsi="宋体" w:cs="宋体" w:hint="eastAsia"/>
        </w:rPr>
        <w:t>（四）最不利情况分析</w:t>
      </w:r>
    </w:p>
    <w:p w:rsidR="00E5194C" w:rsidRPr="00AB67C0" w:rsidRDefault="00E5194C" w:rsidP="00E5194C">
      <w:pPr>
        <w:spacing w:line="360" w:lineRule="auto"/>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lastRenderedPageBreak/>
        <w:t>产品终止</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终止权的行使：本理财产品发生全部终止时，新昌农商银行可以通过公告通知客户全部兑付本理财产品，并按约定将可兑付款项支付给客户。</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C03E6A">
      <w:pPr>
        <w:pStyle w:val="ListParagraph1"/>
        <w:numPr>
          <w:ilvl w:val="0"/>
          <w:numId w:val="3"/>
        </w:numPr>
        <w:spacing w:line="360" w:lineRule="auto"/>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C03E6A">
      <w:pPr>
        <w:pStyle w:val="ListParagraph1"/>
        <w:spacing w:line="360" w:lineRule="auto"/>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理财计划成立后，新昌农商银行会在每周第一个工作日披露本理财上周最后一个工作日的产品净值。</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lastRenderedPageBreak/>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C03E6A" w:rsidRPr="00AB67C0" w:rsidRDefault="00C03E6A" w:rsidP="00C03E6A">
      <w:pPr>
        <w:spacing w:line="360" w:lineRule="auto"/>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务。客户应密切关注新昌农商银行与本理财计划有关的信息披露，以免造成不必要的损失。客户因自身原因或不可抗力导致未及时获知本理财产品的运作或收益分配情况，银行不承担任何责任。 本理财产品说明书在法律许可的范围内由银行负责解释。若客户对本理财说明书的内容有任何疑问或异议，请致电客户服务热线0575-86266991咨询、投诉。</w:t>
      </w:r>
    </w:p>
    <w:p w:rsidR="00F7775A" w:rsidRPr="00C03E6A" w:rsidRDefault="00F7775A"/>
    <w:sectPr w:rsidR="00F7775A" w:rsidRPr="00C03E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1F4A" w:rsidRDefault="00941F4A" w:rsidP="00C03E6A">
      <w:r>
        <w:separator/>
      </w:r>
    </w:p>
  </w:endnote>
  <w:endnote w:type="continuationSeparator" w:id="0">
    <w:p w:rsidR="00941F4A" w:rsidRDefault="00941F4A"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1F4A" w:rsidRDefault="00941F4A" w:rsidP="00C03E6A">
      <w:r>
        <w:separator/>
      </w:r>
    </w:p>
  </w:footnote>
  <w:footnote w:type="continuationSeparator" w:id="0">
    <w:p w:rsidR="00941F4A" w:rsidRDefault="00941F4A"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00A16"/>
    <w:rsid w:val="00021D66"/>
    <w:rsid w:val="00040B3D"/>
    <w:rsid w:val="000831AE"/>
    <w:rsid w:val="000F0C2A"/>
    <w:rsid w:val="001864A1"/>
    <w:rsid w:val="001B1BCB"/>
    <w:rsid w:val="001D0CAB"/>
    <w:rsid w:val="001F6119"/>
    <w:rsid w:val="003D0151"/>
    <w:rsid w:val="004075B4"/>
    <w:rsid w:val="00456C39"/>
    <w:rsid w:val="005606C4"/>
    <w:rsid w:val="00574A5C"/>
    <w:rsid w:val="0058236E"/>
    <w:rsid w:val="005D197E"/>
    <w:rsid w:val="00617DD3"/>
    <w:rsid w:val="00632C22"/>
    <w:rsid w:val="00684E08"/>
    <w:rsid w:val="006A5040"/>
    <w:rsid w:val="006B7722"/>
    <w:rsid w:val="00706981"/>
    <w:rsid w:val="007761F9"/>
    <w:rsid w:val="00803B7C"/>
    <w:rsid w:val="00805DA0"/>
    <w:rsid w:val="00865AA0"/>
    <w:rsid w:val="00883B64"/>
    <w:rsid w:val="008F52BF"/>
    <w:rsid w:val="00932F83"/>
    <w:rsid w:val="00941F4A"/>
    <w:rsid w:val="009D79C1"/>
    <w:rsid w:val="00A0472D"/>
    <w:rsid w:val="00AA2DA2"/>
    <w:rsid w:val="00AA43E0"/>
    <w:rsid w:val="00AE65C4"/>
    <w:rsid w:val="00B068F3"/>
    <w:rsid w:val="00B41F69"/>
    <w:rsid w:val="00BB2884"/>
    <w:rsid w:val="00C03E6A"/>
    <w:rsid w:val="00C234CF"/>
    <w:rsid w:val="00C55CE9"/>
    <w:rsid w:val="00C76B25"/>
    <w:rsid w:val="00C85400"/>
    <w:rsid w:val="00D756F4"/>
    <w:rsid w:val="00DB1EBC"/>
    <w:rsid w:val="00DC3E03"/>
    <w:rsid w:val="00E4485B"/>
    <w:rsid w:val="00E5194C"/>
    <w:rsid w:val="00E6239E"/>
    <w:rsid w:val="00E739A0"/>
    <w:rsid w:val="00E96A0E"/>
    <w:rsid w:val="00EA61A2"/>
    <w:rsid w:val="00F4112E"/>
    <w:rsid w:val="00F7775A"/>
    <w:rsid w:val="00FC4CB6"/>
    <w:rsid w:val="00FC7FAD"/>
    <w:rsid w:val="00FE5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337</TotalTime>
  <Pages>8</Pages>
  <Words>993</Words>
  <Characters>5662</Characters>
  <Application>Microsoft Office Word</Application>
  <DocSecurity>0</DocSecurity>
  <Lines>47</Lines>
  <Paragraphs>13</Paragraphs>
  <ScaleCrop>false</ScaleCrop>
  <Company/>
  <LinksUpToDate>false</LinksUpToDate>
  <CharactersWithSpaces>6642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52</cp:revision>
  <dcterms:created xsi:type="dcterms:W3CDTF">2020-04-28T03:10:00Z</dcterms:created>
  <dcterms:modified xsi:type="dcterms:W3CDTF">2021-11-04T04:27:00Z</dcterms:modified>
</cp:coreProperties>
</file>