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74" w:rsidRDefault="009F0D74" w:rsidP="00DD2845">
      <w:pPr>
        <w:spacing w:line="360" w:lineRule="auto"/>
        <w:jc w:val="center"/>
        <w:rPr>
          <w:rFonts w:ascii="宋体" w:hAnsi="宋体"/>
          <w:b/>
          <w:bCs/>
          <w:sz w:val="32"/>
          <w:szCs w:val="32"/>
        </w:rPr>
      </w:pPr>
      <w:r>
        <w:rPr>
          <w:rFonts w:ascii="宋体" w:hAnsi="宋体" w:cs="宋体" w:hint="eastAsia"/>
          <w:b/>
          <w:bCs/>
          <w:sz w:val="32"/>
          <w:szCs w:val="32"/>
        </w:rPr>
        <w:t>新昌农商银行“</w:t>
      </w:r>
      <w:r>
        <w:rPr>
          <w:rFonts w:ascii="宋体" w:hAnsi="宋体" w:hint="eastAsia"/>
          <w:b/>
          <w:sz w:val="32"/>
          <w:szCs w:val="32"/>
        </w:rPr>
        <w:t>丰收信福3号”2021年第2期</w:t>
      </w:r>
      <w:r>
        <w:rPr>
          <w:rFonts w:ascii="宋体" w:hAnsi="宋体" w:cs="宋体" w:hint="eastAsia"/>
          <w:b/>
          <w:bCs/>
          <w:sz w:val="32"/>
          <w:szCs w:val="32"/>
        </w:rPr>
        <w:t>人民币理财产品说明书</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重要提示</w:t>
      </w:r>
    </w:p>
    <w:p w:rsidR="009F0D74" w:rsidRDefault="009F0D74" w:rsidP="009F0D74">
      <w:pPr>
        <w:pStyle w:val="Default"/>
        <w:adjustRightInd/>
        <w:spacing w:line="360" w:lineRule="auto"/>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9F0D74" w:rsidRDefault="009F0D74" w:rsidP="009F0D74">
      <w:pPr>
        <w:pStyle w:val="Default"/>
        <w:adjustRightInd/>
        <w:spacing w:line="360" w:lineRule="auto"/>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9F0D74" w:rsidRDefault="009F0D74" w:rsidP="009F0D74">
      <w:pPr>
        <w:pStyle w:val="Default"/>
        <w:adjustRightInd/>
        <w:spacing w:line="360" w:lineRule="auto"/>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9F0D74" w:rsidRDefault="009F0D74" w:rsidP="009F0D74">
      <w:pPr>
        <w:pStyle w:val="Default"/>
        <w:adjustRightInd/>
        <w:spacing w:line="360" w:lineRule="auto"/>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9F0D74" w:rsidRDefault="009F0D74" w:rsidP="009F0D74">
      <w:pPr>
        <w:pStyle w:val="Default"/>
        <w:adjustRightInd/>
        <w:spacing w:line="360" w:lineRule="auto"/>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3号”人民币理财产品风险揭示书》、《新昌农商银行“丰收信福3号”人民币理财产品客户权益须知》、《新昌农商银行“丰收信福3号”2021年第2期人民币理财产品说明书》、《新昌农商行“丰收信福3号”人民币理财产品协议书》及业务凭证</w:t>
      </w:r>
      <w:r>
        <w:rPr>
          <w:rFonts w:ascii="宋体" w:hAnsi="宋体" w:cs="宋体" w:hint="eastAsia"/>
          <w:b/>
          <w:sz w:val="21"/>
          <w:szCs w:val="21"/>
        </w:rPr>
        <w:t>，将共同构成客户与新昌农商银行之间的理财计划交易合同。</w:t>
      </w:r>
    </w:p>
    <w:p w:rsidR="009F0D74" w:rsidRDefault="009F0D74" w:rsidP="009F0D74">
      <w:pPr>
        <w:pStyle w:val="Default"/>
        <w:adjustRightInd/>
        <w:spacing w:line="360" w:lineRule="auto"/>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9F0D74" w:rsidRDefault="009F0D74" w:rsidP="009F0D74">
      <w:pPr>
        <w:pStyle w:val="Default"/>
        <w:adjustRightInd/>
        <w:spacing w:line="360" w:lineRule="auto"/>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释义</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9F0D74" w:rsidRDefault="009F0D74" w:rsidP="009F0D74">
      <w:pPr>
        <w:pStyle w:val="Default"/>
        <w:adjustRightInd/>
        <w:spacing w:line="360" w:lineRule="auto"/>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财计划：指新昌农商银行“丰收信福2号”人民币理财产品。</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产品托管人：指招商银行股份有限公司杭州分行。</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lastRenderedPageBreak/>
        <w:t>理财产品认购期：是指银行接受客户认购本理财产品的起止期限。</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9F0D74" w:rsidRDefault="009F0D74" w:rsidP="009F0D74">
      <w:pPr>
        <w:pStyle w:val="ab"/>
        <w:numPr>
          <w:ilvl w:val="0"/>
          <w:numId w:val="2"/>
        </w:numPr>
        <w:spacing w:before="0" w:after="0" w:line="360" w:lineRule="auto"/>
        <w:jc w:val="both"/>
        <w:outlineLvl w:val="9"/>
        <w:rPr>
          <w:rFonts w:ascii="宋体" w:hAnsi="宋体"/>
          <w:sz w:val="28"/>
          <w:szCs w:val="28"/>
        </w:rPr>
      </w:pPr>
      <w:r>
        <w:rPr>
          <w:rFonts w:ascii="宋体" w:hAnsi="宋体" w:cs="宋体" w:hint="eastAsia"/>
          <w:sz w:val="28"/>
          <w:szCs w:val="28"/>
        </w:rPr>
        <w:t>产品风险等级：P</w:t>
      </w:r>
      <w:r>
        <w:rPr>
          <w:rFonts w:ascii="宋体" w:hAnsi="宋体" w:hint="eastAsia"/>
          <w:sz w:val="28"/>
          <w:szCs w:val="28"/>
        </w:rPr>
        <w:t>R2</w:t>
      </w:r>
    </w:p>
    <w:bookmarkStart w:id="0" w:name="markgiiacfacaaadeeab"/>
    <w:bookmarkStart w:id="1" w:name="markbhggdicheageffbd"/>
    <w:bookmarkEnd w:id="0"/>
    <w:bookmarkEnd w:id="1"/>
    <w:p w:rsidR="009F0D74" w:rsidRDefault="00970F23" w:rsidP="009F0D74">
      <w:pPr>
        <w:pStyle w:val="Default"/>
        <w:spacing w:line="360" w:lineRule="auto"/>
        <w:rPr>
          <w:rFonts w:ascii="宋体" w:hAnsi="宋体" w:cs="Times New Roman"/>
          <w:sz w:val="22"/>
          <w:szCs w:val="22"/>
        </w:rPr>
      </w:pPr>
      <w:r>
        <w:rPr>
          <w:noProof/>
        </w:rPr>
        <mc:AlternateContent>
          <mc:Choice Requires="wpg">
            <w:drawing>
              <wp:anchor distT="0" distB="0" distL="114300" distR="114300" simplePos="0" relativeHeight="251646976" behindDoc="0" locked="0" layoutInCell="1" allowOverlap="1" wp14:anchorId="4209BEA0" wp14:editId="0AE2DE8A">
                <wp:simplePos x="0" y="0"/>
                <wp:positionH relativeFrom="character">
                  <wp:posOffset>0</wp:posOffset>
                </wp:positionH>
                <wp:positionV relativeFrom="line">
                  <wp:posOffset>0</wp:posOffset>
                </wp:positionV>
                <wp:extent cx="5829300" cy="2674620"/>
                <wp:effectExtent l="0" t="0" r="0" b="0"/>
                <wp:wrapNone/>
                <wp:docPr id="3"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4"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F0D74" w:rsidRDefault="009F0D74" w:rsidP="009F0D74">
                              <w:pPr>
                                <w:ind w:firstLineChars="49" w:firstLine="103"/>
                                <w:rPr>
                                  <w:b/>
                                  <w:bCs/>
                                </w:rPr>
                              </w:pPr>
                              <w:r>
                                <w:rPr>
                                  <w:b/>
                                  <w:bCs/>
                                </w:rPr>
                                <w:t>PR1</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D74" w:rsidRDefault="009F0D74" w:rsidP="009F0D74">
                              <w:pPr>
                                <w:ind w:firstLineChars="49" w:firstLine="103"/>
                                <w:rPr>
                                  <w:b/>
                                  <w:bCs/>
                                </w:rPr>
                              </w:pPr>
                              <w:r>
                                <w:rPr>
                                  <w:b/>
                                  <w:bCs/>
                                </w:rPr>
                                <w:t>R2</w:t>
                              </w:r>
                            </w:p>
                          </w:txbxContent>
                        </wps:txbx>
                        <wps:bodyPr rot="0" vert="horz" wrap="square" lIns="91440" tIns="45720" rIns="91440" bIns="45720" anchor="t" anchorCtr="0" upright="1">
                          <a:noAutofit/>
                        </wps:bodyPr>
                      </wps:wsp>
                      <wps:wsp>
                        <wps:cNvPr id="28"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D74" w:rsidRDefault="009F0D74" w:rsidP="009F0D74">
                              <w:pPr>
                                <w:ind w:firstLineChars="49" w:firstLine="103"/>
                                <w:rPr>
                                  <w:b/>
                                  <w:bCs/>
                                </w:rPr>
                              </w:pPr>
                              <w:r>
                                <w:rPr>
                                  <w:b/>
                                  <w:bCs/>
                                </w:rPr>
                                <w:t>PR3</w:t>
                              </w:r>
                            </w:p>
                          </w:txbxContent>
                        </wps:txbx>
                        <wps:bodyPr rot="0" vert="horz" wrap="square" lIns="91440" tIns="45720" rIns="91440" bIns="45720" anchor="t" anchorCtr="0" upright="1">
                          <a:noAutofit/>
                        </wps:bodyPr>
                      </wps:wsp>
                      <wps:wsp>
                        <wps:cNvPr id="29"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F0D74" w:rsidRDefault="009F0D74" w:rsidP="009F0D74">
                              <w:pPr>
                                <w:ind w:firstLineChars="49" w:firstLine="103"/>
                                <w:rPr>
                                  <w:b/>
                                  <w:bCs/>
                                </w:rPr>
                              </w:pPr>
                              <w:r>
                                <w:rPr>
                                  <w:b/>
                                  <w:bCs/>
                                </w:rPr>
                                <w:t>PR2</w:t>
                              </w:r>
                            </w:p>
                          </w:txbxContent>
                        </wps:txbx>
                        <wps:bodyPr rot="0" vert="horz" wrap="square" lIns="91440" tIns="45720" rIns="91440" bIns="45720" anchor="t" anchorCtr="0" upright="1">
                          <a:noAutofit/>
                        </wps:bodyPr>
                      </wps:wsp>
                      <wps:wsp>
                        <wps:cNvPr id="30"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D74" w:rsidRDefault="009F0D74" w:rsidP="009F0D74">
                              <w:pPr>
                                <w:ind w:firstLineChars="49" w:firstLine="103"/>
                                <w:rPr>
                                  <w:b/>
                                  <w:bCs/>
                                </w:rPr>
                              </w:pPr>
                              <w:r>
                                <w:rPr>
                                  <w:b/>
                                  <w:bCs/>
                                </w:rPr>
                                <w:t>PR5</w:t>
                              </w:r>
                            </w:p>
                          </w:txbxContent>
                        </wps:txbx>
                        <wps:bodyPr rot="0" vert="horz" wrap="square" lIns="91440" tIns="45720" rIns="91440" bIns="45720" anchor="t" anchorCtr="0" upright="1">
                          <a:noAutofit/>
                        </wps:bodyPr>
                      </wps:wsp>
                      <wps:wsp>
                        <wps:cNvPr id="31"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D74" w:rsidRDefault="009F0D74" w:rsidP="009F0D74">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32"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0D74" w:rsidRDefault="009F0D74" w:rsidP="009F0D74">
                              <w:pPr>
                                <w:ind w:firstLineChars="49" w:firstLine="103"/>
                                <w:rPr>
                                  <w:b/>
                                  <w:bCs/>
                                </w:rPr>
                              </w:pPr>
                              <w:r>
                                <w:rPr>
                                  <w:b/>
                                  <w:bCs/>
                                </w:rPr>
                                <w:t>PR4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margin-left:0;margin-top:0;width:459pt;height:210.6pt;z-index:251646976;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F0D74" w:rsidRDefault="009F0D74" w:rsidP="009F0D74">
                        <w:pPr>
                          <w:ind w:firstLineChars="49" w:firstLine="103"/>
                          <w:rPr>
                            <w:b/>
                            <w:bCs/>
                          </w:rPr>
                        </w:pPr>
                        <w:r>
                          <w:rPr>
                            <w:b/>
                            <w:bCs/>
                          </w:rPr>
                          <w:t>PR1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textbox>
                    <w:txbxContent>
                      <w:p w:rsidR="009F0D74" w:rsidRDefault="009F0D74" w:rsidP="009F0D74">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textbox>
                    <w:txbxContent>
                      <w:p w:rsidR="009F0D74" w:rsidRDefault="009F0D74" w:rsidP="009F0D74">
                        <w:pPr>
                          <w:ind w:firstLineChars="49" w:firstLine="103"/>
                          <w:rPr>
                            <w:b/>
                            <w:bCs/>
                          </w:rPr>
                        </w:pPr>
                        <w:r>
                          <w:rPr>
                            <w:b/>
                            <w:bCs/>
                          </w:rPr>
                          <w:t>PR3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fZsQA&#10;AADbAAAADwAAAGRycy9kb3ducmV2LnhtbESPT4vCMBTE74LfITxhb2tqYZdajSL+WdaLaBXPj+bZ&#10;FpuX0kSt334jLHgcZuY3zHTemVrcqXWVZQWjYQSCOLe64kLB6bj5TEA4j6yxtkwKnuRgPuv3pphq&#10;++AD3TNfiABhl6KC0vsmldLlJRl0Q9sQB+9iW4M+yLaQusVHgJtaxlH0LQ1WHBZKbGhZUn7NbkbB&#10;z6nZXrPlM052+691lqzO48vurNTHoFtMQHjq/Dv83/7VCuIxvL6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X2bEAAAA2wAAAA8AAAAAAAAAAAAAAAAAmAIAAGRycy9k&#10;b3ducmV2LnhtbFBLBQYAAAAABAAEAPUAAACJAwAAAAA=&#10;" fillcolor="yellow">
                  <v:textbox>
                    <w:txbxContent>
                      <w:p w:rsidR="009F0D74" w:rsidRDefault="009F0D74" w:rsidP="009F0D74">
                        <w:pPr>
                          <w:ind w:firstLineChars="49" w:firstLine="103"/>
                          <w:rPr>
                            <w:b/>
                            <w:bCs/>
                          </w:rPr>
                        </w:pPr>
                        <w:r>
                          <w:rPr>
                            <w:b/>
                            <w:bCs/>
                          </w:rPr>
                          <w:t>PR2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v:textbox>
                    <w:txbxContent>
                      <w:p w:rsidR="009F0D74" w:rsidRDefault="009F0D74" w:rsidP="009F0D74">
                        <w:pPr>
                          <w:ind w:firstLineChars="49" w:firstLine="103"/>
                          <w:rPr>
                            <w:b/>
                            <w:bCs/>
                          </w:rPr>
                        </w:pPr>
                        <w:r>
                          <w:rPr>
                            <w:b/>
                            <w:bCs/>
                          </w:rPr>
                          <w:t>PR5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p w:rsidR="009F0D74" w:rsidRDefault="009F0D74" w:rsidP="009F0D74">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textbox>
                    <w:txbxContent>
                      <w:p w:rsidR="009F0D74" w:rsidRDefault="009F0D74" w:rsidP="009F0D74">
                        <w:pPr>
                          <w:ind w:firstLineChars="49" w:firstLine="103"/>
                          <w:rPr>
                            <w:b/>
                            <w:bCs/>
                          </w:rPr>
                        </w:pPr>
                        <w:r>
                          <w:rPr>
                            <w:b/>
                            <w:bCs/>
                          </w:rPr>
                          <w:t>PR4</w:t>
                        </w:r>
                      </w:p>
                    </w:txbxContent>
                  </v:textbox>
                </v:rect>
                <w10:wrap anchory="line"/>
              </v:group>
            </w:pict>
          </mc:Fallback>
        </mc:AlternateContent>
      </w:r>
      <w:r>
        <w:rPr>
          <w:noProof/>
        </w:rPr>
        <mc:AlternateContent>
          <mc:Choice Requires="wps">
            <w:drawing>
              <wp:inline distT="0" distB="0" distL="0" distR="0" wp14:anchorId="3C800284" wp14:editId="15ED4624">
                <wp:extent cx="5828030" cy="267144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803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58.9pt;height:2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iQsQIAALk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" filled="f" stroked="f">
                <o:lock v:ext="edit" aspectratio="t"/>
                <w10:anchorlock/>
              </v:rect>
            </w:pict>
          </mc:Fallback>
        </mc:AlternateConten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产品投资</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（一）投资范围</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9F0D74" w:rsidTr="009F0D74">
        <w:trPr>
          <w:trHeight w:val="270"/>
          <w:jc w:val="center"/>
        </w:trPr>
        <w:tc>
          <w:tcPr>
            <w:tcW w:w="1227" w:type="dxa"/>
            <w:tcBorders>
              <w:top w:val="single" w:sz="4" w:space="0" w:color="auto"/>
              <w:left w:val="single" w:sz="4" w:space="0" w:color="auto"/>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9F0D74" w:rsidTr="009F0D74">
        <w:trPr>
          <w:trHeight w:val="270"/>
          <w:jc w:val="center"/>
        </w:trPr>
        <w:tc>
          <w:tcPr>
            <w:tcW w:w="1227" w:type="dxa"/>
            <w:vMerge w:val="restart"/>
            <w:tcBorders>
              <w:top w:val="nil"/>
              <w:left w:val="single" w:sz="4" w:space="0" w:color="auto"/>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18"/>
                <w:szCs w:val="18"/>
              </w:rPr>
            </w:pPr>
            <w:r>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noWrap/>
            <w:vAlign w:val="bottom"/>
            <w:hideMark/>
          </w:tcPr>
          <w:p w:rsidR="009F0D74" w:rsidRDefault="009F0D74">
            <w:pPr>
              <w:widowControl/>
              <w:jc w:val="center"/>
              <w:rPr>
                <w:rFonts w:ascii="宋体" w:hAnsi="宋体" w:cs="宋体"/>
                <w:color w:val="000000"/>
                <w:kern w:val="0"/>
                <w:sz w:val="20"/>
              </w:rPr>
            </w:pPr>
            <w:r>
              <w:rPr>
                <w:rFonts w:ascii="宋体" w:hAnsi="宋体" w:cs="宋体" w:hint="eastAsia"/>
                <w:color w:val="000000"/>
                <w:kern w:val="0"/>
                <w:sz w:val="20"/>
              </w:rPr>
              <w:t>0-100%</w:t>
            </w:r>
          </w:p>
        </w:tc>
      </w:tr>
      <w:tr w:rsidR="009F0D74" w:rsidTr="009F0D74">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F0D74" w:rsidRDefault="009F0D74">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9F0D74" w:rsidTr="009F0D74">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9F0D74" w:rsidRDefault="009F0D74">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vAlign w:val="center"/>
            <w:hideMark/>
          </w:tcPr>
          <w:p w:rsidR="009F0D74" w:rsidRDefault="009F0D74">
            <w:pPr>
              <w:widowControl/>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0" w:type="auto"/>
            <w:vMerge/>
            <w:tcBorders>
              <w:top w:val="nil"/>
              <w:left w:val="single" w:sz="4" w:space="0" w:color="auto"/>
              <w:bottom w:val="single" w:sz="4" w:space="0" w:color="auto"/>
              <w:right w:val="single" w:sz="4" w:space="0" w:color="auto"/>
            </w:tcBorders>
            <w:vAlign w:val="center"/>
            <w:hideMark/>
          </w:tcPr>
          <w:p w:rsidR="009F0D74" w:rsidRDefault="009F0D74">
            <w:pPr>
              <w:widowControl/>
              <w:jc w:val="left"/>
              <w:rPr>
                <w:rFonts w:ascii="宋体" w:hAnsi="宋体" w:cs="宋体"/>
                <w:color w:val="000000"/>
                <w:kern w:val="0"/>
                <w:sz w:val="20"/>
                <w:szCs w:val="18"/>
              </w:rPr>
            </w:pPr>
          </w:p>
        </w:tc>
      </w:tr>
    </w:tbl>
    <w:p w:rsidR="009F0D74" w:rsidRDefault="009F0D74" w:rsidP="009F0D74">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（三）投资策略</w:t>
      </w:r>
    </w:p>
    <w:p w:rsidR="009F0D74" w:rsidRDefault="009F0D74" w:rsidP="009F0D74">
      <w:pPr>
        <w:pStyle w:val="Default"/>
        <w:spacing w:line="360" w:lineRule="auto"/>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w:t>
      </w:r>
      <w:r>
        <w:rPr>
          <w:rFonts w:ascii="宋体" w:hAnsi="宋体" w:cs="宋体" w:hint="eastAsia"/>
          <w:sz w:val="21"/>
          <w:szCs w:val="21"/>
        </w:rPr>
        <w:lastRenderedPageBreak/>
        <w:t>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产品概述</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5"/>
        <w:gridCol w:w="7335"/>
      </w:tblGrid>
      <w:tr w:rsidR="009F0D74" w:rsidTr="009F0D74">
        <w:trPr>
          <w:trHeight w:val="289"/>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cs="宋体" w:hint="eastAsia"/>
                <w:kern w:val="0"/>
                <w:sz w:val="18"/>
                <w:szCs w:val="18"/>
              </w:rPr>
              <w:t>产品名称</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cs="宋体" w:hint="eastAsia"/>
                <w:kern w:val="0"/>
                <w:sz w:val="18"/>
                <w:szCs w:val="18"/>
              </w:rPr>
              <w:t>新昌农商银行丰收信福3号2021年第2期人民币理财产品</w:t>
            </w:r>
          </w:p>
        </w:tc>
      </w:tr>
      <w:tr w:rsidR="009F0D74" w:rsidTr="009F0D74">
        <w:trPr>
          <w:trHeight w:val="227"/>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cs="宋体" w:hint="eastAsia"/>
                <w:kern w:val="0"/>
                <w:sz w:val="18"/>
                <w:szCs w:val="18"/>
              </w:rPr>
              <w:t>产品编号</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hint="eastAsia"/>
                <w:kern w:val="0"/>
                <w:sz w:val="18"/>
                <w:szCs w:val="18"/>
              </w:rPr>
              <w:t>SXXCFSXF03202102</w:t>
            </w:r>
          </w:p>
        </w:tc>
      </w:tr>
      <w:tr w:rsidR="009F0D74" w:rsidTr="009F0D74">
        <w:trPr>
          <w:trHeight w:val="289"/>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cs="宋体" w:hint="eastAsia"/>
                <w:kern w:val="0"/>
                <w:sz w:val="18"/>
                <w:szCs w:val="18"/>
              </w:rPr>
              <w:t>产品登记编码</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rsidP="00DD2845">
            <w:pPr>
              <w:rPr>
                <w:rFonts w:ascii="宋体" w:hAnsi="宋体"/>
                <w:kern w:val="0"/>
                <w:sz w:val="18"/>
                <w:szCs w:val="18"/>
              </w:rPr>
            </w:pPr>
            <w:r>
              <w:rPr>
                <w:rFonts w:ascii="宋体" w:hAnsi="宋体" w:cs="宋体" w:hint="eastAsia"/>
                <w:kern w:val="0"/>
                <w:sz w:val="18"/>
                <w:szCs w:val="18"/>
              </w:rPr>
              <w:t>该产品在全国银行业理财信息登记系统的登记编码是C11251210000</w:t>
            </w:r>
            <w:r w:rsidR="00DD2845">
              <w:rPr>
                <w:rFonts w:ascii="宋体" w:hAnsi="宋体" w:cs="宋体" w:hint="eastAsia"/>
                <w:kern w:val="0"/>
                <w:sz w:val="18"/>
                <w:szCs w:val="18"/>
              </w:rPr>
              <w:t>03</w:t>
            </w:r>
            <w:r>
              <w:rPr>
                <w:rFonts w:ascii="宋体" w:hAnsi="宋体" w:cs="宋体" w:hint="eastAsia"/>
                <w:kern w:val="0"/>
                <w:sz w:val="18"/>
                <w:szCs w:val="18"/>
              </w:rPr>
              <w:t>，客户可依据该编码在“中国理财网（www.chinawealth.com.cn）”查询该产品信息。</w:t>
            </w:r>
          </w:p>
        </w:tc>
      </w:tr>
      <w:tr w:rsidR="009F0D74" w:rsidTr="009F0D74">
        <w:trPr>
          <w:trHeight w:val="289"/>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适用客户</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9F0D74" w:rsidTr="009F0D74">
        <w:trPr>
          <w:trHeight w:val="210"/>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销售渠道</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9F0D74" w:rsidRDefault="009F0D74">
            <w:pPr>
              <w:rPr>
                <w:rFonts w:ascii="宋体" w:hAnsi="宋体"/>
                <w:kern w:val="0"/>
              </w:rPr>
            </w:pPr>
            <w:r>
              <w:rPr>
                <w:rFonts w:ascii="宋体" w:hAnsi="宋体" w:cs="宋体" w:hint="eastAsia"/>
                <w:kern w:val="0"/>
                <w:sz w:val="18"/>
                <w:szCs w:val="18"/>
              </w:rPr>
              <w:t>机构客户可通过新昌农商银行的营业网点渠道购买。</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交易币种</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人民币</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起点认购金额</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认购起点金额1万元整，超过起点部分，应为1000元的整数倍。</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产品类型</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公募类封闭式净值型理财产品</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投资性质</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固定收益类</w:t>
            </w:r>
          </w:p>
        </w:tc>
      </w:tr>
      <w:tr w:rsidR="009F0D74" w:rsidTr="009F0D74">
        <w:trPr>
          <w:cantSplit/>
          <w:trHeight w:val="731"/>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产品规模</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规模下限为30万元，规模上限为5000万元。若认购金额未达规模下限则产品不成立，发行银行有权根据市场行情暂停接受认购申请。新昌农商银行有权对本理财产品规模上限进行调整。</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产品认购期</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2021年1月13日至2021年1月19日。</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产品成立日</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kern w:val="0"/>
              </w:rPr>
            </w:pPr>
            <w:r>
              <w:rPr>
                <w:rFonts w:ascii="宋体" w:hAnsi="宋体" w:cs="宋体" w:hint="eastAsia"/>
                <w:kern w:val="0"/>
                <w:sz w:val="18"/>
                <w:szCs w:val="18"/>
              </w:rPr>
              <w:t>2021年1月20日。</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s="宋体"/>
                <w:kern w:val="0"/>
                <w:sz w:val="18"/>
                <w:szCs w:val="18"/>
              </w:rPr>
            </w:pPr>
            <w:r>
              <w:rPr>
                <w:rFonts w:ascii="宋体" w:hAnsi="宋体" w:cs="宋体" w:hint="eastAsia"/>
                <w:kern w:val="0"/>
                <w:sz w:val="18"/>
                <w:szCs w:val="18"/>
              </w:rPr>
              <w:t>产品到期日</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s="宋体"/>
                <w:kern w:val="0"/>
                <w:sz w:val="18"/>
                <w:szCs w:val="18"/>
              </w:rPr>
            </w:pPr>
            <w:r>
              <w:rPr>
                <w:rFonts w:ascii="宋体" w:hAnsi="宋体" w:cs="宋体" w:hint="eastAsia"/>
                <w:kern w:val="0"/>
                <w:sz w:val="18"/>
                <w:szCs w:val="18"/>
              </w:rPr>
              <w:t>2022年1月20日。</w:t>
            </w:r>
          </w:p>
        </w:tc>
      </w:tr>
      <w:tr w:rsidR="009F0D74" w:rsidTr="009F0D74">
        <w:trPr>
          <w:cantSplit/>
          <w:trHeight w:val="324"/>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s="宋体"/>
                <w:kern w:val="0"/>
                <w:sz w:val="18"/>
                <w:szCs w:val="18"/>
              </w:rPr>
            </w:pPr>
            <w:r>
              <w:rPr>
                <w:rFonts w:ascii="宋体" w:hAnsi="宋体" w:cs="宋体" w:hint="eastAsia"/>
                <w:kern w:val="0"/>
                <w:sz w:val="18"/>
                <w:szCs w:val="18"/>
              </w:rPr>
              <w:t>理财期限</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s="宋体"/>
                <w:kern w:val="0"/>
                <w:sz w:val="18"/>
                <w:szCs w:val="18"/>
              </w:rPr>
            </w:pPr>
            <w:r>
              <w:rPr>
                <w:rFonts w:ascii="宋体" w:hAnsi="宋体" w:cs="宋体" w:hint="eastAsia"/>
                <w:kern w:val="0"/>
                <w:sz w:val="18"/>
                <w:szCs w:val="18"/>
              </w:rPr>
              <w:t>365天</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资金到账</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单位净值</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widowControl/>
              <w:rPr>
                <w:rFonts w:ascii="宋体" w:hAnsi="宋体"/>
                <w:color w:val="000000"/>
              </w:rPr>
            </w:pPr>
            <w:r>
              <w:rPr>
                <w:rFonts w:ascii="宋体" w:hAnsi="宋体" w:cs="宋体" w:hint="eastAsia"/>
                <w:color w:val="000000"/>
                <w:kern w:val="0"/>
                <w:sz w:val="18"/>
                <w:szCs w:val="18"/>
              </w:rPr>
              <w:t>业绩比较基准</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widowControl/>
              <w:rPr>
                <w:rFonts w:ascii="宋体" w:hAnsi="宋体"/>
                <w:color w:val="000000"/>
                <w:kern w:val="0"/>
                <w:sz w:val="18"/>
                <w:szCs w:val="18"/>
              </w:rPr>
            </w:pPr>
            <w:r>
              <w:rPr>
                <w:rFonts w:ascii="宋体" w:hAnsi="宋体" w:cs="宋体" w:hint="eastAsia"/>
                <w:color w:val="000000"/>
                <w:kern w:val="0"/>
                <w:sz w:val="18"/>
                <w:szCs w:val="18"/>
              </w:rPr>
              <w:t>本理财产品业绩比较基准为年</w:t>
            </w:r>
            <w:r>
              <w:rPr>
                <w:rFonts w:ascii="宋体" w:hAnsi="宋体" w:cs="宋体" w:hint="eastAsia"/>
                <w:kern w:val="0"/>
                <w:sz w:val="18"/>
                <w:szCs w:val="18"/>
              </w:rPr>
              <w:t>化3.6%-3.9%。管理人有权于确认日前3个工作日调整业绩比较基准，并在新昌农商银行官网公告。</w:t>
            </w:r>
          </w:p>
          <w:p w:rsidR="009F0D74" w:rsidRDefault="009F0D74">
            <w:pPr>
              <w:widowControl/>
              <w:rPr>
                <w:rFonts w:ascii="宋体" w:hAnsi="宋体"/>
                <w:color w:val="000000"/>
              </w:rPr>
            </w:pPr>
            <w:r>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9F0D74" w:rsidRDefault="009F0D74">
            <w:pPr>
              <w:rPr>
                <w:rFonts w:ascii="宋体" w:hAnsi="宋体" w:cs="宋体"/>
                <w:color w:val="000000"/>
                <w:kern w:val="0"/>
                <w:sz w:val="18"/>
                <w:szCs w:val="18"/>
              </w:rPr>
            </w:pPr>
            <w:r>
              <w:rPr>
                <w:rFonts w:ascii="宋体" w:hAnsi="宋体" w:cs="宋体" w:hint="eastAsia"/>
                <w:color w:val="000000"/>
                <w:kern w:val="0"/>
                <w:sz w:val="18"/>
                <w:szCs w:val="18"/>
              </w:rPr>
              <w:t>投资者理财收益＝理财产品投资份额×产品期末单位净值-客户投资本金。</w:t>
            </w:r>
          </w:p>
        </w:tc>
      </w:tr>
      <w:tr w:rsidR="009F0D74" w:rsidTr="009F0D74">
        <w:trPr>
          <w:cantSplit/>
          <w:trHeight w:val="233"/>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相关费用</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sz w:val="18"/>
                <w:szCs w:val="18"/>
              </w:rPr>
            </w:pPr>
            <w:r>
              <w:rPr>
                <w:rFonts w:ascii="宋体" w:hAnsi="宋体" w:cs="宋体" w:hint="eastAsia"/>
                <w:color w:val="000000"/>
                <w:kern w:val="0"/>
                <w:sz w:val="18"/>
                <w:szCs w:val="18"/>
              </w:rPr>
              <w:t>本产品不收取认购费。</w:t>
            </w:r>
          </w:p>
          <w:p w:rsidR="009F0D74" w:rsidRDefault="009F0D74">
            <w:pPr>
              <w:rPr>
                <w:rFonts w:ascii="宋体" w:hAnsi="宋体"/>
                <w:color w:val="000000"/>
                <w:kern w:val="0"/>
                <w:sz w:val="18"/>
                <w:szCs w:val="18"/>
              </w:rPr>
            </w:pPr>
            <w:r>
              <w:rPr>
                <w:rFonts w:ascii="宋体" w:hAnsi="宋体" w:cs="宋体" w:hint="eastAsia"/>
                <w:color w:val="000000"/>
                <w:kern w:val="0"/>
                <w:sz w:val="18"/>
                <w:szCs w:val="18"/>
              </w:rPr>
              <w:t>本产品托管人按照产品存续规模收取年化0.015%的托管费。每日计提，于产品到期支付。</w:t>
            </w:r>
          </w:p>
          <w:p w:rsidR="009F0D74" w:rsidRDefault="009F0D74">
            <w:pPr>
              <w:rPr>
                <w:rFonts w:ascii="宋体" w:hAnsi="宋体" w:cs="宋体"/>
                <w:color w:val="000000"/>
                <w:kern w:val="0"/>
                <w:sz w:val="18"/>
                <w:szCs w:val="18"/>
              </w:rPr>
            </w:pPr>
            <w:r>
              <w:rPr>
                <w:rFonts w:ascii="宋体" w:hAnsi="宋体" w:cs="宋体" w:hint="eastAsia"/>
                <w:color w:val="000000"/>
                <w:kern w:val="0"/>
                <w:sz w:val="18"/>
                <w:szCs w:val="18"/>
              </w:rPr>
              <w:t>本产品管理人按照产品存续规模收取年化0.1%的固定管理费。每日计提，于产品到期支付。</w:t>
            </w:r>
          </w:p>
          <w:p w:rsidR="009F0D74" w:rsidRDefault="009F0D74">
            <w:pPr>
              <w:rPr>
                <w:rFonts w:ascii="宋体" w:hAnsi="宋体"/>
                <w:color w:val="000000"/>
                <w:kern w:val="0"/>
              </w:rPr>
            </w:pPr>
            <w:r>
              <w:rPr>
                <w:rFonts w:ascii="宋体" w:hAnsi="宋体" w:cs="宋体" w:hint="eastAsia"/>
                <w:color w:val="000000"/>
                <w:kern w:val="0"/>
                <w:sz w:val="18"/>
                <w:szCs w:val="18"/>
              </w:rPr>
              <w:t>理财管理人根据理财计划投资情况计算浮动管理费，本理财产品投资周期年化收益率超过业绩比较基准的部分,管理人提取80%作为浮动管理费。</w:t>
            </w:r>
          </w:p>
        </w:tc>
      </w:tr>
      <w:tr w:rsidR="009F0D74" w:rsidTr="009F0D74">
        <w:trPr>
          <w:cantSplit/>
          <w:trHeight w:val="233"/>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提前终止权</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融资服务</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t>税费规定</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9F0D74" w:rsidRDefault="009F0D74">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9F0D74" w:rsidTr="009F0D74">
        <w:trPr>
          <w:trHeight w:val="315"/>
          <w:jc w:val="center"/>
        </w:trPr>
        <w:tc>
          <w:tcPr>
            <w:tcW w:w="24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rPr>
            </w:pPr>
            <w:r>
              <w:rPr>
                <w:rFonts w:ascii="宋体" w:hAnsi="宋体" w:cs="宋体" w:hint="eastAsia"/>
                <w:color w:val="000000"/>
                <w:kern w:val="0"/>
                <w:sz w:val="18"/>
                <w:szCs w:val="18"/>
              </w:rPr>
              <w:lastRenderedPageBreak/>
              <w:t>其他规定</w:t>
            </w:r>
          </w:p>
        </w:tc>
        <w:tc>
          <w:tcPr>
            <w:tcW w:w="7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F0D74" w:rsidRDefault="009F0D74">
            <w:pPr>
              <w:rPr>
                <w:rFonts w:ascii="宋体" w:hAnsi="宋体"/>
                <w:color w:val="000000"/>
                <w:kern w:val="0"/>
                <w:sz w:val="18"/>
                <w:szCs w:val="18"/>
              </w:rPr>
            </w:pPr>
            <w:r>
              <w:rPr>
                <w:rFonts w:ascii="宋体" w:hAnsi="宋体" w:cs="宋体" w:hint="eastAsia"/>
                <w:color w:val="000000"/>
                <w:kern w:val="0"/>
                <w:sz w:val="18"/>
                <w:szCs w:val="18"/>
              </w:rPr>
              <w:t>1.认购期内，客户认购资金按当时实行的活期利率计息，募集期内的利息所得不计入认购金额。</w:t>
            </w:r>
          </w:p>
          <w:p w:rsidR="009F0D74" w:rsidRDefault="009F0D74">
            <w:pPr>
              <w:autoSpaceDE w:val="0"/>
              <w:autoSpaceDN w:val="0"/>
              <w:adjustRightInd w:val="0"/>
              <w:rPr>
                <w:rFonts w:ascii="宋体" w:hAnsi="宋体"/>
                <w:color w:val="000000"/>
                <w:kern w:val="0"/>
                <w:sz w:val="18"/>
                <w:szCs w:val="18"/>
              </w:rPr>
            </w:pPr>
            <w:r>
              <w:rPr>
                <w:rFonts w:ascii="宋体" w:hAnsi="宋体" w:cs="宋体" w:hint="eastAsia"/>
                <w:color w:val="000000"/>
                <w:kern w:val="0"/>
                <w:sz w:val="18"/>
                <w:szCs w:val="18"/>
              </w:rPr>
              <w:t>2.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9F0D74" w:rsidRDefault="009F0D74">
            <w:pPr>
              <w:autoSpaceDE w:val="0"/>
              <w:autoSpaceDN w:val="0"/>
              <w:adjustRightInd w:val="0"/>
              <w:rPr>
                <w:rFonts w:ascii="宋体" w:hAnsi="宋体" w:cs="宋体"/>
                <w:color w:val="000000"/>
                <w:kern w:val="0"/>
                <w:sz w:val="18"/>
                <w:szCs w:val="18"/>
              </w:rPr>
            </w:pPr>
            <w:r>
              <w:rPr>
                <w:rFonts w:ascii="宋体" w:hAnsi="宋体" w:cs="宋体" w:hint="eastAsia"/>
                <w:color w:val="000000"/>
                <w:kern w:val="0"/>
                <w:sz w:val="18"/>
                <w:szCs w:val="18"/>
              </w:rPr>
              <w:t>3.新昌农商银行有权根据市场情况和本产品运作情况，对本理财计划的收费项目、条件、标准和方式进行调整。</w:t>
            </w:r>
          </w:p>
          <w:p w:rsidR="009F0D74" w:rsidRDefault="009F0D74">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9F0D74" w:rsidRDefault="009F0D74" w:rsidP="009F0D74">
      <w:pPr>
        <w:spacing w:line="360" w:lineRule="auto"/>
        <w:rPr>
          <w:rFonts w:ascii="宋体" w:hAnsi="宋体"/>
          <w:b/>
          <w:bCs/>
        </w:rPr>
      </w:pPr>
      <w:r>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理财产品估值</w:t>
      </w:r>
    </w:p>
    <w:p w:rsidR="009F0D74" w:rsidRDefault="009F0D74" w:rsidP="009F0D74">
      <w:pPr>
        <w:spacing w:line="360" w:lineRule="auto"/>
        <w:ind w:firstLineChars="200" w:firstLine="420"/>
        <w:rPr>
          <w:rFonts w:ascii="宋体" w:hAnsi="宋体" w:cs="宋体"/>
          <w:color w:val="000000"/>
          <w:kern w:val="0"/>
        </w:rPr>
      </w:pPr>
      <w:r>
        <w:rPr>
          <w:rFonts w:ascii="宋体" w:hAnsi="宋体" w:cs="宋体" w:hint="eastAsia"/>
          <w:color w:val="000000"/>
          <w:kern w:val="0"/>
        </w:rPr>
        <w:t xml:space="preserve">（一）估值日 </w:t>
      </w:r>
    </w:p>
    <w:p w:rsidR="009F0D74" w:rsidRDefault="009F0D74" w:rsidP="009F0D74">
      <w:pPr>
        <w:spacing w:line="360" w:lineRule="auto"/>
        <w:ind w:firstLineChars="200" w:firstLine="420"/>
        <w:rPr>
          <w:rFonts w:ascii="宋体" w:hAnsi="宋体"/>
          <w:color w:val="000000"/>
          <w:kern w:val="0"/>
        </w:rPr>
      </w:pPr>
      <w:r>
        <w:rPr>
          <w:rFonts w:ascii="宋体" w:hAnsi="宋体" w:cs="宋体" w:hint="eastAsia"/>
          <w:color w:val="000000"/>
          <w:kern w:val="0"/>
        </w:rPr>
        <w:t>本产品估值日为每周最后一个工作日，于下一周最新一个工作日公告。</w:t>
      </w:r>
    </w:p>
    <w:p w:rsidR="009F0D74" w:rsidRDefault="009F0D74" w:rsidP="009F0D74">
      <w:pPr>
        <w:spacing w:line="360" w:lineRule="auto"/>
        <w:ind w:firstLineChars="200" w:firstLine="420"/>
        <w:rPr>
          <w:rFonts w:ascii="宋体" w:hAnsi="宋体"/>
          <w:color w:val="000000"/>
          <w:kern w:val="0"/>
        </w:rPr>
      </w:pPr>
      <w:r>
        <w:rPr>
          <w:rFonts w:ascii="宋体" w:hAnsi="宋体" w:cs="宋体" w:hint="eastAsia"/>
          <w:color w:val="000000"/>
          <w:kern w:val="0"/>
        </w:rPr>
        <w:t>（二）估值对象</w:t>
      </w:r>
    </w:p>
    <w:p w:rsidR="009F0D74" w:rsidRDefault="009F0D74" w:rsidP="009F0D74">
      <w:pPr>
        <w:spacing w:line="360" w:lineRule="auto"/>
        <w:rPr>
          <w:rFonts w:ascii="宋体" w:hAnsi="宋体"/>
          <w:color w:val="000000"/>
          <w:kern w:val="0"/>
        </w:rPr>
      </w:pPr>
      <w:r>
        <w:rPr>
          <w:rFonts w:ascii="宋体" w:hAnsi="宋体" w:cs="宋体" w:hint="eastAsia"/>
          <w:color w:val="000000"/>
          <w:kern w:val="0"/>
        </w:rPr>
        <w:t xml:space="preserve">    本理财产品所拥有的所有金融资产及金融负债。</w:t>
      </w:r>
    </w:p>
    <w:p w:rsidR="009F0D74" w:rsidRDefault="009F0D74" w:rsidP="009F0D74">
      <w:pPr>
        <w:spacing w:line="360" w:lineRule="auto"/>
        <w:ind w:firstLineChars="200" w:firstLine="420"/>
        <w:rPr>
          <w:rFonts w:ascii="宋体" w:hAnsi="宋体" w:cs="宋体"/>
          <w:color w:val="000000"/>
          <w:kern w:val="0"/>
        </w:rPr>
      </w:pPr>
      <w:r>
        <w:rPr>
          <w:rFonts w:ascii="宋体" w:hAnsi="宋体" w:cs="宋体" w:hint="eastAsia"/>
          <w:color w:val="000000"/>
          <w:kern w:val="0"/>
        </w:rPr>
        <w:t xml:space="preserve">（三）估值目的 </w:t>
      </w:r>
    </w:p>
    <w:p w:rsidR="009F0D74" w:rsidRDefault="009F0D74" w:rsidP="009F0D74">
      <w:pPr>
        <w:spacing w:line="360" w:lineRule="auto"/>
        <w:ind w:firstLineChars="200" w:firstLine="420"/>
        <w:rPr>
          <w:rFonts w:ascii="宋体" w:hAnsi="宋体" w:cs="宋体"/>
          <w:color w:val="000000"/>
          <w:kern w:val="0"/>
        </w:rPr>
      </w:pPr>
      <w:r>
        <w:rPr>
          <w:rFonts w:ascii="宋体" w:hAnsi="宋体" w:cs="宋体" w:hint="eastAsia"/>
          <w:color w:val="000000"/>
          <w:kern w:val="0"/>
        </w:rPr>
        <w:t xml:space="preserve">客观、准确反映理财产品的价值。 </w:t>
      </w:r>
    </w:p>
    <w:p w:rsidR="009F0D74" w:rsidRDefault="009F0D74" w:rsidP="009F0D74">
      <w:pPr>
        <w:pStyle w:val="af0"/>
        <w:numPr>
          <w:ilvl w:val="0"/>
          <w:numId w:val="4"/>
        </w:numPr>
        <w:spacing w:line="360" w:lineRule="auto"/>
        <w:ind w:firstLineChars="0"/>
        <w:rPr>
          <w:rFonts w:ascii="宋体" w:hAnsi="宋体" w:cs="Times New Roman"/>
          <w:color w:val="000000"/>
          <w:kern w:val="0"/>
        </w:rPr>
      </w:pPr>
      <w:r>
        <w:rPr>
          <w:rFonts w:ascii="宋体" w:hAnsi="宋体" w:cs="宋体" w:hint="eastAsia"/>
          <w:color w:val="000000"/>
        </w:rPr>
        <w:t>估值方式</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3.银行存款以本金列示，逐日计提利息；</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9F0D74" w:rsidRDefault="009F0D74" w:rsidP="009F0D74">
      <w:pPr>
        <w:pStyle w:val="ListParagraph1"/>
        <w:spacing w:line="360" w:lineRule="auto"/>
        <w:rPr>
          <w:rFonts w:ascii="宋体" w:hAnsi="宋体" w:cs="Times New Roman"/>
          <w:color w:val="000000"/>
          <w:kern w:val="0"/>
        </w:rPr>
      </w:pPr>
      <w:r>
        <w:rPr>
          <w:rFonts w:ascii="宋体" w:hAnsi="宋体" w:cs="Times New Roman" w:hint="eastAsia"/>
          <w:color w:val="000000"/>
          <w:kern w:val="0"/>
        </w:rPr>
        <w:t>5.资产管理产品或其它特殊目的载体等披露份额净值的，按最近一日的份额净值估值。资产管理产品或其它特殊目的载体等披露收益率的，按成本估值，按收益率计提收益。</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7.国家有最新规定的按其规定进行估值。</w:t>
      </w:r>
    </w:p>
    <w:p w:rsidR="009F0D74" w:rsidRDefault="009F0D74" w:rsidP="009F0D74">
      <w:pPr>
        <w:spacing w:line="360" w:lineRule="auto"/>
        <w:ind w:firstLineChars="200" w:firstLine="420"/>
        <w:rPr>
          <w:rFonts w:ascii="宋体" w:hAnsi="宋体"/>
          <w:sz w:val="18"/>
          <w:szCs w:val="18"/>
        </w:rPr>
      </w:pPr>
      <w:r>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9F0D74" w:rsidRDefault="009F0D74" w:rsidP="009F0D74">
      <w:pPr>
        <w:spacing w:line="360" w:lineRule="auto"/>
        <w:ind w:firstLineChars="200" w:firstLine="420"/>
        <w:rPr>
          <w:rFonts w:ascii="宋体" w:hAnsi="宋体"/>
          <w:color w:val="000000"/>
          <w:kern w:val="0"/>
        </w:rPr>
      </w:pPr>
      <w:r>
        <w:rPr>
          <w:rFonts w:ascii="宋体" w:hAnsi="宋体" w:cs="宋体" w:hint="eastAsia"/>
          <w:color w:val="000000"/>
          <w:kern w:val="0"/>
        </w:rPr>
        <w:t>（五）偏离度管理</w:t>
      </w:r>
    </w:p>
    <w:p w:rsidR="009F0D74" w:rsidRDefault="009F0D74" w:rsidP="009F0D74">
      <w:pPr>
        <w:spacing w:line="360" w:lineRule="auto"/>
        <w:ind w:firstLineChars="200" w:firstLine="420"/>
        <w:rPr>
          <w:rFonts w:ascii="宋体" w:hAnsi="宋体"/>
          <w:color w:val="000000"/>
          <w:kern w:val="0"/>
        </w:rPr>
      </w:pPr>
      <w:r>
        <w:rPr>
          <w:rFonts w:ascii="宋体" w:hAnsi="宋体" w:cs="宋体" w:hint="eastAsia"/>
          <w:color w:val="000000"/>
          <w:kern w:val="0"/>
        </w:rPr>
        <w:t>由于按摊余成本法估值可能会出现估值对象的公允价值和摊余成本价偏离，为消除或减少产</w:t>
      </w:r>
      <w:r>
        <w:rPr>
          <w:rFonts w:ascii="宋体" w:hAnsi="宋体" w:cs="宋体" w:hint="eastAsia"/>
          <w:color w:val="000000"/>
          <w:kern w:val="0"/>
        </w:rPr>
        <w:lastRenderedPageBreak/>
        <w:t>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9F0D74" w:rsidRDefault="009F0D74" w:rsidP="009F0D74">
      <w:pPr>
        <w:pStyle w:val="ab"/>
        <w:numPr>
          <w:ilvl w:val="0"/>
          <w:numId w:val="2"/>
        </w:numPr>
        <w:spacing w:before="0" w:after="0" w:line="360" w:lineRule="auto"/>
        <w:jc w:val="both"/>
        <w:outlineLvl w:val="9"/>
        <w:rPr>
          <w:rFonts w:ascii="宋体" w:hAnsi="宋体" w:cs="Times New Roman"/>
          <w:sz w:val="28"/>
          <w:szCs w:val="28"/>
        </w:rPr>
      </w:pPr>
      <w:r>
        <w:rPr>
          <w:rFonts w:ascii="宋体" w:hAnsi="宋体" w:cs="宋体" w:hint="eastAsia"/>
          <w:sz w:val="28"/>
          <w:szCs w:val="28"/>
        </w:rPr>
        <w:t>理财计划收益和相关费用</w:t>
      </w:r>
    </w:p>
    <w:p w:rsidR="009F0D74" w:rsidRDefault="009F0D74" w:rsidP="009F0D74">
      <w:pPr>
        <w:spacing w:line="360" w:lineRule="auto"/>
        <w:ind w:firstLineChars="200" w:firstLine="420"/>
        <w:rPr>
          <w:rFonts w:ascii="宋体" w:hAnsi="宋体"/>
          <w:kern w:val="0"/>
        </w:rPr>
      </w:pPr>
      <w:r>
        <w:rPr>
          <w:rFonts w:ascii="宋体" w:hAnsi="宋体" w:cs="宋体" w:hint="eastAsia"/>
          <w:kern w:val="0"/>
        </w:rPr>
        <w:t>（一）收益计算公式</w:t>
      </w:r>
    </w:p>
    <w:p w:rsidR="009F0D74" w:rsidRDefault="009F0D74" w:rsidP="009F0D74">
      <w:pPr>
        <w:spacing w:line="360" w:lineRule="auto"/>
        <w:ind w:firstLineChars="200" w:firstLine="420"/>
        <w:rPr>
          <w:rFonts w:ascii="宋体" w:hAnsi="宋体"/>
          <w:kern w:val="0"/>
        </w:rPr>
      </w:pPr>
      <w:r>
        <w:rPr>
          <w:rFonts w:ascii="宋体" w:hAnsi="宋体" w:cs="宋体" w:hint="eastAsia"/>
          <w:kern w:val="0"/>
        </w:rPr>
        <w:t>投资者理财收益＝理财产品投资份额×产品期末单位净值（提取浮动管理费（如有）后单位净值）-客户投资本金。</w:t>
      </w:r>
    </w:p>
    <w:p w:rsidR="009F0D74" w:rsidRDefault="009F0D74" w:rsidP="009F0D74">
      <w:pPr>
        <w:spacing w:line="360" w:lineRule="auto"/>
        <w:ind w:firstLineChars="200" w:firstLine="420"/>
        <w:rPr>
          <w:rFonts w:ascii="宋体" w:hAnsi="宋体" w:cs="宋体"/>
          <w:kern w:val="0"/>
        </w:rPr>
      </w:pPr>
      <w:r>
        <w:rPr>
          <w:rFonts w:ascii="宋体" w:hAnsi="宋体" w:cs="宋体" w:hint="eastAsia"/>
          <w:kern w:val="0"/>
        </w:rPr>
        <w:t>理财产品单位净值为提取相关费用后的净值，客户按该单位净值进行到期、提前终止时的分配。</w:t>
      </w:r>
    </w:p>
    <w:p w:rsidR="009F0D74" w:rsidRDefault="009F0D74" w:rsidP="009F0D74">
      <w:pPr>
        <w:spacing w:line="360" w:lineRule="auto"/>
        <w:ind w:firstLineChars="200" w:firstLine="420"/>
        <w:rPr>
          <w:rFonts w:ascii="宋体" w:hAnsi="宋体"/>
          <w:kern w:val="0"/>
          <w:sz w:val="24"/>
          <w:szCs w:val="24"/>
        </w:rPr>
      </w:pPr>
      <w:r>
        <w:rPr>
          <w:rFonts w:ascii="宋体" w:hAnsi="宋体" w:cs="宋体" w:hint="eastAsia"/>
          <w:kern w:val="0"/>
        </w:rPr>
        <w:t>（二）本理财计划的各相关费用</w:t>
      </w:r>
    </w:p>
    <w:p w:rsidR="009F0D74" w:rsidRDefault="009F0D74" w:rsidP="009F0D74">
      <w:pPr>
        <w:pStyle w:val="ListParagraph1"/>
        <w:spacing w:line="360" w:lineRule="auto"/>
        <w:ind w:firstLineChars="0"/>
        <w:rPr>
          <w:rFonts w:ascii="宋体" w:hAnsi="宋体" w:cs="Times New Roman"/>
          <w:kern w:val="0"/>
        </w:rPr>
      </w:pPr>
      <w:r>
        <w:rPr>
          <w:rFonts w:ascii="宋体" w:hAnsi="宋体" w:cs="宋体" w:hint="eastAsia"/>
          <w:kern w:val="0"/>
        </w:rPr>
        <w:t>1.理财管理人的固定管理费</w:t>
      </w:r>
    </w:p>
    <w:p w:rsidR="009F0D74" w:rsidRDefault="009F0D74" w:rsidP="009F0D74">
      <w:pPr>
        <w:spacing w:line="360" w:lineRule="auto"/>
        <w:ind w:firstLineChars="200" w:firstLine="420"/>
        <w:rPr>
          <w:rFonts w:ascii="宋体" w:hAnsi="宋体" w:cs="宋体"/>
          <w:kern w:val="0"/>
        </w:rPr>
      </w:pPr>
      <w:r>
        <w:rPr>
          <w:rFonts w:ascii="宋体" w:hAnsi="宋体" w:cs="宋体" w:hint="eastAsia"/>
          <w:kern w:val="0"/>
        </w:rPr>
        <w:t>本理财计划按照年化0.1%的固定费率收取固定管理费。本产品每日计提的固定管理费为：前一日资产净值×0.1%／365。</w:t>
      </w:r>
    </w:p>
    <w:p w:rsidR="009F0D74" w:rsidRDefault="009F0D74" w:rsidP="009F0D74">
      <w:pPr>
        <w:spacing w:line="360" w:lineRule="auto"/>
        <w:rPr>
          <w:rFonts w:ascii="宋体" w:hAnsi="宋体"/>
          <w:kern w:val="0"/>
        </w:rPr>
      </w:pPr>
      <w:r>
        <w:rPr>
          <w:rFonts w:ascii="宋体" w:hAnsi="宋体" w:cs="宋体" w:hint="eastAsia"/>
          <w:kern w:val="0"/>
        </w:rPr>
        <w:t>固定管理费按日计提，于产品结束后收取。</w:t>
      </w:r>
    </w:p>
    <w:p w:rsidR="009F0D74" w:rsidRDefault="009F0D74" w:rsidP="009F0D74">
      <w:pPr>
        <w:pStyle w:val="ListParagraph1"/>
        <w:spacing w:line="360" w:lineRule="auto"/>
        <w:ind w:firstLineChars="0"/>
        <w:rPr>
          <w:rFonts w:ascii="宋体" w:hAnsi="宋体" w:cs="Times New Roman"/>
          <w:kern w:val="0"/>
        </w:rPr>
      </w:pPr>
      <w:r>
        <w:rPr>
          <w:rFonts w:ascii="宋体" w:hAnsi="宋体" w:cs="宋体" w:hint="eastAsia"/>
          <w:kern w:val="0"/>
        </w:rPr>
        <w:t>2.理财托管人的托管费</w:t>
      </w:r>
    </w:p>
    <w:p w:rsidR="009F0D74" w:rsidRDefault="009F0D74" w:rsidP="009F0D74">
      <w:pPr>
        <w:spacing w:line="360" w:lineRule="auto"/>
        <w:ind w:firstLineChars="200" w:firstLine="420"/>
        <w:rPr>
          <w:rFonts w:ascii="宋体" w:hAnsi="宋体"/>
          <w:kern w:val="0"/>
        </w:rPr>
      </w:pPr>
      <w:r>
        <w:rPr>
          <w:rFonts w:ascii="宋体" w:hAnsi="宋体" w:cs="宋体" w:hint="eastAsia"/>
          <w:kern w:val="0"/>
        </w:rPr>
        <w:t>本理财计划按照年化0.015%的固定费率收取托管费。本产品每日计提的托管费计算方式为：该前一日资产净值×0.015%／365。</w:t>
      </w:r>
    </w:p>
    <w:p w:rsidR="009F0D74" w:rsidRDefault="009F0D74" w:rsidP="009F0D74">
      <w:pPr>
        <w:spacing w:line="360" w:lineRule="auto"/>
        <w:ind w:firstLineChars="200" w:firstLine="420"/>
        <w:rPr>
          <w:rFonts w:ascii="宋体" w:hAnsi="宋体" w:cs="宋体"/>
          <w:kern w:val="0"/>
        </w:rPr>
      </w:pPr>
      <w:r>
        <w:rPr>
          <w:rFonts w:ascii="宋体" w:hAnsi="宋体" w:cs="宋体" w:hint="eastAsia"/>
          <w:kern w:val="0"/>
        </w:rPr>
        <w:t>托管费按日计提，于产品结束时收取。</w:t>
      </w:r>
    </w:p>
    <w:p w:rsidR="009F0D74" w:rsidRDefault="009F0D74" w:rsidP="009F0D74">
      <w:pPr>
        <w:spacing w:line="360" w:lineRule="auto"/>
        <w:ind w:firstLineChars="200" w:firstLine="420"/>
        <w:rPr>
          <w:rFonts w:ascii="宋体" w:hAnsi="宋体"/>
          <w:kern w:val="0"/>
        </w:rPr>
      </w:pPr>
      <w:r>
        <w:rPr>
          <w:rFonts w:ascii="宋体" w:hAnsi="宋体" w:cs="宋体" w:hint="eastAsia"/>
          <w:kern w:val="0"/>
        </w:rPr>
        <w:t>3.本产品不收取估值外包服务费。</w:t>
      </w:r>
    </w:p>
    <w:p w:rsidR="009F0D74" w:rsidRDefault="009F0D74" w:rsidP="009F0D74">
      <w:pPr>
        <w:pStyle w:val="ListParagraph1"/>
        <w:widowControl/>
        <w:spacing w:line="360" w:lineRule="auto"/>
        <w:ind w:firstLineChars="0"/>
        <w:rPr>
          <w:rFonts w:ascii="宋体" w:hAnsi="宋体" w:cs="宋体"/>
          <w:kern w:val="0"/>
        </w:rPr>
      </w:pPr>
      <w:r>
        <w:rPr>
          <w:rFonts w:ascii="宋体" w:hAnsi="宋体" w:cs="宋体" w:hint="eastAsia"/>
          <w:kern w:val="0"/>
        </w:rPr>
        <w:t>4.浮动管理费</w:t>
      </w:r>
    </w:p>
    <w:p w:rsidR="009F0D74" w:rsidRDefault="009F0D74" w:rsidP="009F0D74">
      <w:pPr>
        <w:widowControl/>
        <w:spacing w:line="360" w:lineRule="auto"/>
        <w:rPr>
          <w:rFonts w:ascii="宋体" w:hAnsi="宋体" w:cs="宋体"/>
          <w:kern w:val="0"/>
        </w:rPr>
      </w:pPr>
      <w:r>
        <w:rPr>
          <w:rFonts w:ascii="宋体" w:hAnsi="宋体" w:hint="eastAsia"/>
        </w:rPr>
        <w:t xml:space="preserve">    理财管理人根据理财计划投资情况计算浮动管理费，</w:t>
      </w:r>
      <w:r>
        <w:rPr>
          <w:rFonts w:ascii="宋体" w:hAnsi="宋体" w:cs="宋体" w:hint="eastAsia"/>
          <w:bCs/>
        </w:rPr>
        <w:t>本理财产品到期</w:t>
      </w:r>
      <w:r>
        <w:rPr>
          <w:rFonts w:ascii="宋体" w:hAnsi="宋体" w:cs="宋体" w:hint="eastAsia"/>
        </w:rPr>
        <w:t>年化收益率</w:t>
      </w:r>
      <w:r>
        <w:rPr>
          <w:rFonts w:ascii="宋体" w:hAnsi="宋体" w:hint="eastAsia"/>
        </w:rPr>
        <w:t>超过业绩比较基准的部分管理人提取80%作为浮动管理费，</w:t>
      </w:r>
      <w:r>
        <w:rPr>
          <w:rFonts w:ascii="宋体" w:hAnsi="宋体" w:cs="宋体" w:hint="eastAsia"/>
          <w:kern w:val="0"/>
        </w:rPr>
        <w:t>于产品结束时收取</w:t>
      </w:r>
      <w:r>
        <w:rPr>
          <w:rFonts w:ascii="宋体" w:hAnsi="宋体" w:hint="eastAsia"/>
        </w:rPr>
        <w:t>；</w:t>
      </w:r>
      <w:r>
        <w:rPr>
          <w:rFonts w:ascii="宋体" w:hAnsi="宋体" w:cs="宋体" w:hint="eastAsia"/>
          <w:bCs/>
        </w:rPr>
        <w:t>本理财产品到期</w:t>
      </w:r>
      <w:r>
        <w:rPr>
          <w:rFonts w:ascii="宋体" w:hAnsi="宋体" w:cs="宋体" w:hint="eastAsia"/>
        </w:rPr>
        <w:t>年化收益率</w:t>
      </w:r>
      <w:r>
        <w:rPr>
          <w:rFonts w:ascii="宋体" w:hAnsi="宋体" w:cs="宋体" w:hint="eastAsia"/>
          <w:bCs/>
        </w:rPr>
        <w:t>若小于或等于业绩比较基准则不收取浮动管理费。</w:t>
      </w:r>
      <w:r>
        <w:rPr>
          <w:rFonts w:ascii="宋体" w:hAnsi="宋体" w:cs="宋体" w:hint="eastAsia"/>
          <w:kern w:val="0"/>
        </w:rPr>
        <w:t>新昌农商银行保留变更上述收取费率标准的权利，如有变更，将提前1个工作日在新昌农商银行网站或新昌农商银行营业网点公告。</w:t>
      </w:r>
    </w:p>
    <w:p w:rsidR="009F0D74" w:rsidRDefault="009F0D74" w:rsidP="009F0D74">
      <w:pPr>
        <w:spacing w:line="360" w:lineRule="auto"/>
        <w:ind w:firstLineChars="200" w:firstLine="420"/>
        <w:rPr>
          <w:rFonts w:ascii="宋体" w:hAnsi="宋体"/>
          <w:kern w:val="0"/>
        </w:rPr>
      </w:pPr>
      <w:r>
        <w:rPr>
          <w:rFonts w:ascii="宋体" w:hAnsi="宋体" w:cs="宋体" w:hint="eastAsia"/>
          <w:kern w:val="0"/>
        </w:rPr>
        <w:t>（三）收益示例说明</w:t>
      </w:r>
    </w:p>
    <w:p w:rsidR="009F0D74" w:rsidRDefault="009F0D74" w:rsidP="009F0D74">
      <w:pPr>
        <w:spacing w:line="360" w:lineRule="auto"/>
        <w:ind w:firstLineChars="196" w:firstLine="413"/>
        <w:rPr>
          <w:rFonts w:ascii="宋体" w:hAnsi="宋体"/>
          <w:b/>
          <w:bCs/>
          <w:kern w:val="0"/>
        </w:rPr>
      </w:pPr>
      <w:r>
        <w:rPr>
          <w:rFonts w:ascii="宋体" w:hAnsi="宋体" w:cs="宋体" w:hint="eastAsia"/>
          <w:b/>
          <w:bCs/>
          <w:kern w:val="0"/>
        </w:rPr>
        <w:t>示例一：扣除托管费、固定管理费后，投资收益率超越业绩比较基准</w:t>
      </w:r>
    </w:p>
    <w:p w:rsidR="009F0D74" w:rsidRDefault="009F0D74" w:rsidP="009F0D74">
      <w:pPr>
        <w:spacing w:line="360" w:lineRule="auto"/>
        <w:ind w:firstLineChars="196" w:firstLine="412"/>
        <w:rPr>
          <w:rFonts w:ascii="宋体" w:hAnsi="宋体"/>
          <w:b/>
          <w:bCs/>
          <w:kern w:val="0"/>
        </w:rPr>
      </w:pPr>
      <w:r>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w:t>
      </w:r>
      <w:r>
        <w:rPr>
          <w:rFonts w:ascii="宋体" w:hAnsi="宋体" w:hint="eastAsia"/>
        </w:rPr>
        <w:lastRenderedPageBreak/>
        <w:t>则投资管理人对超过业绩比较基准部分收益收取浮动管理费，浮动管理费为：</w:t>
      </w:r>
    </w:p>
    <w:p w:rsidR="009F0D74" w:rsidRDefault="009F0D74" w:rsidP="009F0D74">
      <w:pPr>
        <w:widowControl/>
        <w:spacing w:line="360" w:lineRule="auto"/>
        <w:ind w:firstLineChars="200" w:firstLine="420"/>
        <w:rPr>
          <w:rFonts w:ascii="宋体" w:hAnsi="宋体"/>
        </w:rPr>
      </w:pPr>
      <w:r>
        <w:rPr>
          <w:rFonts w:ascii="宋体" w:hAnsi="宋体" w:hint="eastAsia"/>
        </w:rPr>
        <w:t>100,000.00×1.00×(6.20%-5.60%)×80%×362÷365=476.05（元）</w:t>
      </w:r>
    </w:p>
    <w:p w:rsidR="009F0D74" w:rsidRDefault="009F0D74" w:rsidP="009F0D74">
      <w:pPr>
        <w:widowControl/>
        <w:spacing w:line="360" w:lineRule="auto"/>
        <w:ind w:firstLineChars="200" w:firstLine="420"/>
        <w:rPr>
          <w:rFonts w:ascii="宋体" w:hAnsi="宋体"/>
        </w:rPr>
      </w:pPr>
      <w:r>
        <w:rPr>
          <w:rFonts w:ascii="宋体" w:hAnsi="宋体" w:hint="eastAsia"/>
        </w:rPr>
        <w:t>扣除浮动管理费后，客户最终收益为：</w:t>
      </w:r>
    </w:p>
    <w:p w:rsidR="009F0D74" w:rsidRDefault="009F0D74" w:rsidP="009F0D74">
      <w:pPr>
        <w:spacing w:line="360" w:lineRule="auto"/>
        <w:ind w:firstLineChars="196" w:firstLine="412"/>
        <w:rPr>
          <w:rFonts w:ascii="宋体" w:hAnsi="宋体"/>
        </w:rPr>
      </w:pPr>
      <w:r>
        <w:rPr>
          <w:rFonts w:ascii="宋体" w:hAnsi="宋体" w:hint="eastAsia"/>
        </w:rPr>
        <w:t>100,000.00×（1.0615-1.00）-476.05=5,673.95（元），产品到期时，客户获得的实际收益相当于达到年化收益率水平为：5,673.95/100,000.00×365/362=5.72%。</w:t>
      </w:r>
    </w:p>
    <w:p w:rsidR="009F0D74" w:rsidRDefault="009F0D74" w:rsidP="009F0D74">
      <w:pPr>
        <w:spacing w:line="360" w:lineRule="auto"/>
        <w:ind w:firstLineChars="196" w:firstLine="413"/>
        <w:rPr>
          <w:rFonts w:ascii="宋体" w:hAnsi="宋体"/>
          <w:b/>
          <w:bCs/>
          <w:kern w:val="0"/>
        </w:rPr>
      </w:pPr>
      <w:r>
        <w:rPr>
          <w:rFonts w:ascii="宋体" w:hAnsi="宋体" w:cs="宋体" w:hint="eastAsia"/>
          <w:b/>
          <w:bCs/>
          <w:kern w:val="0"/>
        </w:rPr>
        <w:t>示例二：扣除托管费、固定管理费后，投资收益率未达到业绩比较基准</w:t>
      </w:r>
    </w:p>
    <w:p w:rsidR="009F0D74" w:rsidRDefault="009F0D74" w:rsidP="009F0D74">
      <w:pPr>
        <w:widowControl/>
        <w:spacing w:line="360" w:lineRule="auto"/>
        <w:ind w:firstLineChars="200" w:firstLine="420"/>
        <w:rPr>
          <w:rFonts w:ascii="宋体" w:hAnsi="宋体"/>
        </w:rPr>
      </w:pPr>
      <w:r>
        <w:rPr>
          <w:rFonts w:ascii="宋体" w:hAnsi="宋体" w:cs="宋体" w:hint="eastAsia"/>
          <w:kern w:val="0"/>
        </w:rPr>
        <w:t>以某客户投资10万元为例，购买时产品净值为1.00元，折算份额为100000.00份,投资本理财产品 362天后，到期份额100000.00份。假设</w:t>
      </w:r>
      <w:r>
        <w:rPr>
          <w:rFonts w:ascii="宋体" w:hAnsi="宋体" w:hint="eastAsia"/>
        </w:rPr>
        <w:t>管理人提取超过业绩基准部分的80%作为浮动管理费，</w:t>
      </w:r>
      <w:r>
        <w:rPr>
          <w:rFonts w:ascii="宋体" w:hAnsi="宋体" w:cs="宋体" w:hint="eastAsia"/>
          <w:kern w:val="0"/>
        </w:rPr>
        <w:t>产品业绩比较基准为5.60% ，</w:t>
      </w:r>
      <w:r>
        <w:rPr>
          <w:rFonts w:ascii="宋体" w:hAnsi="宋体" w:hint="eastAsia"/>
        </w:rPr>
        <w:t>期间无分红</w:t>
      </w:r>
      <w:r>
        <w:rPr>
          <w:rFonts w:ascii="宋体" w:hAnsi="宋体" w:cs="宋体" w:hint="eastAsia"/>
          <w:kern w:val="0"/>
        </w:rPr>
        <w:t>。到期时扣除增值税、托管费、固定管理费等各类税费后，</w:t>
      </w:r>
      <w:r>
        <w:rPr>
          <w:rFonts w:ascii="宋体" w:hAnsi="宋体" w:hint="eastAsia"/>
        </w:rPr>
        <w:t>如产品净值为1.0496，此时，(1.0496/1.00-1)×365/362=5.00%&lt;5.60%，即投资收益未达到业绩比较基准，则投资管理人不收取浮动管理费，客户最终收益为：100,000.00×(1.0496-1.00）=4,960.00（元）。</w:t>
      </w:r>
    </w:p>
    <w:p w:rsidR="009F0D74" w:rsidRDefault="009F0D74" w:rsidP="009F0D74">
      <w:pPr>
        <w:spacing w:line="360" w:lineRule="auto"/>
        <w:ind w:firstLineChars="200" w:firstLine="422"/>
        <w:rPr>
          <w:rFonts w:ascii="宋体" w:hAnsi="宋体"/>
          <w:b/>
          <w:bCs/>
          <w:kern w:val="0"/>
        </w:rPr>
      </w:pPr>
      <w:r>
        <w:rPr>
          <w:rFonts w:ascii="宋体" w:hAnsi="宋体" w:cs="宋体" w:hint="eastAsia"/>
          <w:b/>
          <w:bCs/>
          <w:kern w:val="0"/>
        </w:rPr>
        <w:t>示例三：扣除托管费、固定管理费后，投资发生亏损</w:t>
      </w:r>
    </w:p>
    <w:p w:rsidR="009F0D74" w:rsidRDefault="009F0D74" w:rsidP="009F0D74">
      <w:pPr>
        <w:spacing w:line="360" w:lineRule="auto"/>
        <w:ind w:firstLineChars="200" w:firstLine="420"/>
        <w:rPr>
          <w:rFonts w:ascii="宋体" w:hAnsi="宋体" w:cs="宋体"/>
          <w:kern w:val="0"/>
        </w:rPr>
      </w:pPr>
      <w:r>
        <w:rPr>
          <w:rFonts w:ascii="宋体" w:hAnsi="宋体" w:cs="宋体" w:hint="eastAsia"/>
          <w:kern w:val="0"/>
        </w:rPr>
        <w:t>以某客户投资10万元为例，购买时产品净值为1.00元，折算份额为100000.00份，投资本理财产品362天后，到期份额100000.00份。假设</w:t>
      </w:r>
      <w:r>
        <w:rPr>
          <w:rFonts w:ascii="宋体" w:hAnsi="宋体" w:hint="eastAsia"/>
        </w:rPr>
        <w:t>管理人提取超过业绩基准部分的80%作为浮动管理费，</w:t>
      </w:r>
      <w:r>
        <w:rPr>
          <w:rFonts w:ascii="宋体" w:hAnsi="宋体" w:cs="宋体" w:hint="eastAsia"/>
          <w:kern w:val="0"/>
        </w:rPr>
        <w:t>产品业绩比较基准为5.60%</w:t>
      </w:r>
      <w:r>
        <w:rPr>
          <w:rFonts w:ascii="宋体" w:hAnsi="宋体" w:hint="eastAsia"/>
        </w:rPr>
        <w:t>。到期</w:t>
      </w:r>
      <w:r>
        <w:rPr>
          <w:rFonts w:ascii="宋体" w:hAnsi="宋体" w:cs="宋体" w:hint="eastAsia"/>
          <w:kern w:val="0"/>
        </w:rPr>
        <w:t>时扣除增值税、托管费、固定管理费等各类税费后，如产品净值为0.9975，</w:t>
      </w:r>
      <w:r>
        <w:rPr>
          <w:rFonts w:ascii="宋体" w:hAnsi="宋体" w:hint="eastAsia"/>
        </w:rPr>
        <w:t>则投资管理人不收取浮动管理费，</w:t>
      </w:r>
      <w:r>
        <w:rPr>
          <w:rFonts w:ascii="宋体" w:hAnsi="宋体" w:cs="宋体" w:hint="eastAsia"/>
          <w:kern w:val="0"/>
        </w:rPr>
        <w:t>客户最终收益为：0.9975×100000.00-1.00×100000.00=-250.00（元）。</w:t>
      </w:r>
    </w:p>
    <w:p w:rsidR="009F0D74" w:rsidRDefault="009F0D74" w:rsidP="009F0D74">
      <w:pPr>
        <w:spacing w:line="360" w:lineRule="auto"/>
        <w:ind w:firstLineChars="200" w:firstLine="420"/>
        <w:rPr>
          <w:rFonts w:ascii="宋体" w:hAnsi="宋体"/>
        </w:rPr>
      </w:pPr>
      <w:r>
        <w:rPr>
          <w:rFonts w:ascii="宋体" w:hAnsi="宋体" w:cs="宋体" w:hint="eastAsia"/>
        </w:rPr>
        <w:t>（四）最不利情况分析</w:t>
      </w:r>
    </w:p>
    <w:p w:rsidR="009F0D74" w:rsidRDefault="009F0D74" w:rsidP="009F0D74">
      <w:pPr>
        <w:spacing w:line="360" w:lineRule="auto"/>
        <w:ind w:firstLineChars="200" w:firstLine="420"/>
        <w:rPr>
          <w:rFonts w:ascii="宋体" w:hAnsi="宋体"/>
        </w:rPr>
      </w:pPr>
      <w:r>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9F0D74" w:rsidRDefault="009F0D74" w:rsidP="009F0D74">
      <w:pPr>
        <w:pStyle w:val="ab"/>
        <w:numPr>
          <w:ilvl w:val="0"/>
          <w:numId w:val="2"/>
        </w:numPr>
        <w:spacing w:before="0" w:after="0" w:line="360" w:lineRule="auto"/>
        <w:ind w:hanging="420"/>
        <w:jc w:val="both"/>
        <w:outlineLvl w:val="9"/>
        <w:rPr>
          <w:rFonts w:ascii="宋体" w:hAnsi="宋体" w:cs="Times New Roman"/>
          <w:sz w:val="28"/>
          <w:szCs w:val="28"/>
        </w:rPr>
      </w:pPr>
      <w:r>
        <w:rPr>
          <w:rFonts w:ascii="宋体" w:hAnsi="宋体" w:cs="宋体" w:hint="eastAsia"/>
          <w:sz w:val="28"/>
          <w:szCs w:val="28"/>
        </w:rPr>
        <w:t>产品终止</w:t>
      </w:r>
    </w:p>
    <w:p w:rsidR="009F0D74" w:rsidRDefault="009F0D74" w:rsidP="009F0D74">
      <w:pPr>
        <w:pStyle w:val="ListParagraph1"/>
        <w:numPr>
          <w:ilvl w:val="0"/>
          <w:numId w:val="6"/>
        </w:numPr>
        <w:spacing w:line="360" w:lineRule="auto"/>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9F0D74" w:rsidRDefault="009F0D74" w:rsidP="009F0D74">
      <w:pPr>
        <w:pStyle w:val="ListParagraph1"/>
        <w:numPr>
          <w:ilvl w:val="0"/>
          <w:numId w:val="6"/>
        </w:numPr>
        <w:spacing w:line="360" w:lineRule="auto"/>
        <w:ind w:left="0" w:firstLineChars="0"/>
        <w:rPr>
          <w:rFonts w:ascii="宋体" w:hAnsi="宋体" w:cs="宋体"/>
          <w:color w:val="000000"/>
          <w:kern w:val="0"/>
        </w:rPr>
      </w:pPr>
      <w:r>
        <w:rPr>
          <w:rFonts w:ascii="宋体" w:hAnsi="宋体" w:cs="宋体" w:hint="eastAsia"/>
          <w:color w:val="000000"/>
          <w:kern w:val="0"/>
        </w:rPr>
        <w:t>资金清算：终止日（实际到期日）后2个工作日为资金清算期，该期间不计付利息。</w:t>
      </w:r>
    </w:p>
    <w:p w:rsidR="009F0D74" w:rsidRDefault="009F0D74" w:rsidP="009F0D74">
      <w:pPr>
        <w:pStyle w:val="ListParagraph1"/>
        <w:numPr>
          <w:ilvl w:val="0"/>
          <w:numId w:val="6"/>
        </w:numPr>
        <w:spacing w:line="360" w:lineRule="auto"/>
        <w:ind w:left="0" w:firstLineChars="0"/>
        <w:rPr>
          <w:rFonts w:ascii="宋体" w:hAnsi="宋体" w:cs="宋体"/>
          <w:color w:val="000000"/>
          <w:kern w:val="0"/>
        </w:rPr>
      </w:pPr>
      <w:r>
        <w:rPr>
          <w:rFonts w:ascii="宋体" w:hAnsi="宋体" w:cs="宋体" w:hint="eastAsia"/>
          <w:color w:val="000000"/>
          <w:kern w:val="0"/>
        </w:rPr>
        <w:t>终止事项</w:t>
      </w:r>
    </w:p>
    <w:p w:rsidR="009F0D74" w:rsidRDefault="009F0D74" w:rsidP="009F0D74">
      <w:pPr>
        <w:pStyle w:val="ListParagraph1"/>
        <w:spacing w:line="360" w:lineRule="auto"/>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9F0D74" w:rsidRDefault="009F0D74" w:rsidP="009F0D74">
      <w:pPr>
        <w:pStyle w:val="ListParagraph1"/>
        <w:spacing w:line="360" w:lineRule="auto"/>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w:t>
      </w:r>
      <w:r>
        <w:rPr>
          <w:rFonts w:ascii="宋体" w:hAnsi="宋体" w:cs="宋体" w:hint="eastAsia"/>
          <w:color w:val="000000"/>
          <w:kern w:val="0"/>
        </w:rPr>
        <w:lastRenderedPageBreak/>
        <w:t>存在冲突导致理财产品必须提前终止的；</w:t>
      </w:r>
    </w:p>
    <w:p w:rsidR="009F0D74" w:rsidRDefault="009F0D74" w:rsidP="009F0D74">
      <w:pPr>
        <w:pStyle w:val="ListParagraph1"/>
        <w:spacing w:line="360" w:lineRule="auto"/>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（2）国家有关法律、法规、规章、政策的改变、紧急措施的出台、理财市场环境发生重大变化等导致理财产品必须提前终止的；</w:t>
      </w:r>
    </w:p>
    <w:p w:rsidR="009F0D74" w:rsidRDefault="009F0D74" w:rsidP="009F0D74">
      <w:pPr>
        <w:pStyle w:val="ListParagraph1"/>
        <w:spacing w:line="360" w:lineRule="auto"/>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9F0D74" w:rsidRDefault="009F0D74" w:rsidP="009F0D74">
      <w:pPr>
        <w:pStyle w:val="ListParagraph1"/>
        <w:spacing w:line="360" w:lineRule="auto"/>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9F0D74" w:rsidRDefault="009F0D74" w:rsidP="009F0D74">
      <w:pPr>
        <w:pStyle w:val="ListParagraph1"/>
        <w:numPr>
          <w:ilvl w:val="0"/>
          <w:numId w:val="6"/>
        </w:numPr>
        <w:spacing w:line="360" w:lineRule="auto"/>
        <w:ind w:left="0" w:firstLineChars="0"/>
        <w:rPr>
          <w:rFonts w:ascii="宋体" w:hAnsi="宋体" w:cs="Times New Roman"/>
          <w:color w:val="000000"/>
          <w:kern w:val="0"/>
        </w:rPr>
      </w:pPr>
      <w:r>
        <w:rPr>
          <w:rFonts w:ascii="宋体" w:hAnsi="宋体" w:cs="宋体" w:hint="eastAsia"/>
          <w:color w:val="000000"/>
          <w:kern w:val="0"/>
        </w:rPr>
        <w:t>终止的信息公告</w:t>
      </w:r>
    </w:p>
    <w:p w:rsidR="009F0D74" w:rsidRDefault="009F0D74" w:rsidP="009F0D74">
      <w:pPr>
        <w:pStyle w:val="ListParagraph1"/>
        <w:spacing w:line="360" w:lineRule="auto"/>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9F0D74" w:rsidRDefault="009F0D74" w:rsidP="009F0D74">
      <w:pPr>
        <w:pStyle w:val="ab"/>
        <w:numPr>
          <w:ilvl w:val="0"/>
          <w:numId w:val="2"/>
        </w:numPr>
        <w:spacing w:before="0" w:after="0" w:line="360" w:lineRule="auto"/>
        <w:ind w:hanging="420"/>
        <w:jc w:val="both"/>
        <w:outlineLvl w:val="9"/>
        <w:rPr>
          <w:rFonts w:ascii="宋体" w:hAnsi="宋体" w:cs="Times New Roman"/>
          <w:sz w:val="28"/>
          <w:szCs w:val="28"/>
        </w:rPr>
      </w:pPr>
      <w:r>
        <w:rPr>
          <w:rFonts w:ascii="宋体" w:hAnsi="宋体" w:cs="Times New Roman" w:hint="eastAsia"/>
          <w:sz w:val="28"/>
          <w:szCs w:val="28"/>
        </w:rPr>
        <w:t>税费规定</w:t>
      </w:r>
    </w:p>
    <w:p w:rsidR="009F0D74" w:rsidRDefault="009F0D74" w:rsidP="009F0D74">
      <w:pPr>
        <w:pStyle w:val="ListParagraph1"/>
        <w:spacing w:line="360" w:lineRule="auto"/>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9F0D74" w:rsidRDefault="009F0D74" w:rsidP="009F0D74">
      <w:pPr>
        <w:pStyle w:val="ab"/>
        <w:numPr>
          <w:ilvl w:val="0"/>
          <w:numId w:val="2"/>
        </w:numPr>
        <w:spacing w:before="0" w:after="0" w:line="360" w:lineRule="auto"/>
        <w:ind w:hanging="420"/>
        <w:jc w:val="both"/>
        <w:outlineLvl w:val="9"/>
        <w:rPr>
          <w:rFonts w:ascii="宋体" w:hAnsi="宋体" w:cs="Times New Roman"/>
          <w:sz w:val="28"/>
          <w:szCs w:val="28"/>
        </w:rPr>
      </w:pPr>
      <w:r>
        <w:rPr>
          <w:rFonts w:ascii="宋体" w:hAnsi="宋体" w:cs="宋体" w:hint="eastAsia"/>
          <w:sz w:val="28"/>
          <w:szCs w:val="28"/>
        </w:rPr>
        <w:t>信息披露</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9F0D74" w:rsidRDefault="009F0D74" w:rsidP="009F0D74">
      <w:pPr>
        <w:pStyle w:val="Default"/>
        <w:numPr>
          <w:ilvl w:val="0"/>
          <w:numId w:val="8"/>
        </w:numPr>
        <w:tabs>
          <w:tab w:val="left" w:pos="0"/>
        </w:tabs>
        <w:adjustRightInd/>
        <w:spacing w:line="360" w:lineRule="auto"/>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w:t>
      </w:r>
      <w:r>
        <w:rPr>
          <w:rFonts w:ascii="宋体" w:hAnsi="宋体" w:cs="宋体" w:hint="eastAsia"/>
          <w:sz w:val="21"/>
          <w:szCs w:val="21"/>
        </w:rPr>
        <w:lastRenderedPageBreak/>
        <w:t>读本产品说明书，并作出独立的投资决策。</w:t>
      </w:r>
    </w:p>
    <w:p w:rsidR="009F0D74" w:rsidRPr="00DD2845" w:rsidRDefault="009F0D74" w:rsidP="00DD2845">
      <w:pPr>
        <w:spacing w:line="360" w:lineRule="auto"/>
        <w:ind w:firstLineChars="202" w:firstLine="424"/>
        <w:rPr>
          <w:rFonts w:ascii="宋体" w:hAnsi="宋体" w:cs="宋体"/>
          <w:color w:val="000000"/>
          <w:kern w:val="0"/>
        </w:rPr>
      </w:pPr>
      <w:r>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bookmarkStart w:id="2" w:name="_GoBack"/>
      <w:bookmarkEnd w:id="2"/>
    </w:p>
    <w:sectPr w:rsidR="009F0D74" w:rsidRPr="00DD2845" w:rsidSect="00DD2845">
      <w:pgSz w:w="11906" w:h="16838"/>
      <w:pgMar w:top="2098" w:right="1474" w:bottom="1985" w:left="158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B3" w:rsidRDefault="001500B3" w:rsidP="009F0D74">
      <w:r>
        <w:separator/>
      </w:r>
    </w:p>
  </w:endnote>
  <w:endnote w:type="continuationSeparator" w:id="0">
    <w:p w:rsidR="001500B3" w:rsidRDefault="001500B3" w:rsidP="009F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B3" w:rsidRDefault="001500B3" w:rsidP="009F0D74">
      <w:r>
        <w:separator/>
      </w:r>
    </w:p>
  </w:footnote>
  <w:footnote w:type="continuationSeparator" w:id="0">
    <w:p w:rsidR="001500B3" w:rsidRDefault="001500B3" w:rsidP="009F0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hint="default"/>
        <w:color w:val="auto"/>
        <w:sz w:val="24"/>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nsid w:val="40D15568"/>
    <w:multiLevelType w:val="multilevel"/>
    <w:tmpl w:val="6A18BCC8"/>
    <w:lvl w:ilvl="0">
      <w:start w:val="1"/>
      <w:numFmt w:val="chineseCountingThousand"/>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FE7B6D"/>
    <w:multiLevelType w:val="hybridMultilevel"/>
    <w:tmpl w:val="98D0FB52"/>
    <w:lvl w:ilvl="0" w:tplc="D2E660C4">
      <w:start w:val="4"/>
      <w:numFmt w:val="japaneseCounting"/>
      <w:lvlText w:val="（%1）"/>
      <w:lvlJc w:val="left"/>
      <w:pPr>
        <w:ind w:left="1140" w:hanging="720"/>
      </w:pPr>
      <w:rPr>
        <w:rFonts w:cs="宋体"/>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4F320103"/>
    <w:multiLevelType w:val="hybridMultilevel"/>
    <w:tmpl w:val="BB72B066"/>
    <w:lvl w:ilvl="0" w:tplc="D3C02D72">
      <w:numFmt w:val="bullet"/>
      <w:lvlText w:val="□"/>
      <w:lvlJc w:val="left"/>
      <w:pPr>
        <w:tabs>
          <w:tab w:val="num" w:pos="360"/>
        </w:tabs>
        <w:ind w:left="360" w:hanging="360"/>
      </w:pPr>
      <w:rPr>
        <w:rFonts w:ascii="仿宋_GB2312" w:eastAsia="仿宋_GB2312" w:hAnsi="Times New Roman" w:hint="eastAsia"/>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9A"/>
    <w:rsid w:val="001500B3"/>
    <w:rsid w:val="002C239A"/>
    <w:rsid w:val="004E6B33"/>
    <w:rsid w:val="006142B9"/>
    <w:rsid w:val="006D1023"/>
    <w:rsid w:val="00970F23"/>
    <w:rsid w:val="009F0D74"/>
    <w:rsid w:val="00A34C0A"/>
    <w:rsid w:val="00A3719F"/>
    <w:rsid w:val="00D14997"/>
    <w:rsid w:val="00DA0C5E"/>
    <w:rsid w:val="00DD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74"/>
    <w:pPr>
      <w:widowControl w:val="0"/>
      <w:jc w:val="both"/>
    </w:pPr>
    <w:rPr>
      <w:kern w:val="2"/>
      <w:sz w:val="21"/>
      <w:szCs w:val="22"/>
    </w:rPr>
  </w:style>
  <w:style w:type="paragraph" w:styleId="1">
    <w:name w:val="heading 1"/>
    <w:basedOn w:val="a"/>
    <w:next w:val="a"/>
    <w:link w:val="1Char"/>
    <w:uiPriority w:val="9"/>
    <w:qFormat/>
    <w:rsid w:val="009F0D74"/>
    <w:pPr>
      <w:keepNext/>
      <w:keepLines/>
      <w:adjustRightInd w:val="0"/>
      <w:spacing w:before="340" w:after="330" w:line="578" w:lineRule="atLeast"/>
      <w:jc w:val="left"/>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D7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F0D74"/>
    <w:rPr>
      <w:sz w:val="18"/>
      <w:szCs w:val="18"/>
    </w:rPr>
  </w:style>
  <w:style w:type="paragraph" w:styleId="a4">
    <w:name w:val="footer"/>
    <w:basedOn w:val="a"/>
    <w:link w:val="Char0"/>
    <w:uiPriority w:val="99"/>
    <w:unhideWhenUsed/>
    <w:rsid w:val="009F0D74"/>
    <w:pPr>
      <w:tabs>
        <w:tab w:val="center" w:pos="4153"/>
        <w:tab w:val="right" w:pos="8306"/>
      </w:tabs>
      <w:snapToGrid w:val="0"/>
      <w:jc w:val="left"/>
    </w:pPr>
    <w:rPr>
      <w:sz w:val="18"/>
      <w:szCs w:val="18"/>
    </w:rPr>
  </w:style>
  <w:style w:type="character" w:customStyle="1" w:styleId="Char0">
    <w:name w:val="页脚 Char"/>
    <w:link w:val="a4"/>
    <w:uiPriority w:val="99"/>
    <w:rsid w:val="009F0D74"/>
    <w:rPr>
      <w:sz w:val="18"/>
      <w:szCs w:val="18"/>
    </w:rPr>
  </w:style>
  <w:style w:type="character" w:customStyle="1" w:styleId="1Char">
    <w:name w:val="标题 1 Char"/>
    <w:link w:val="1"/>
    <w:uiPriority w:val="9"/>
    <w:rsid w:val="009F0D74"/>
    <w:rPr>
      <w:rFonts w:ascii="Times New Roman" w:eastAsia="宋体" w:hAnsi="Times New Roman" w:cs="Times New Roman"/>
      <w:b/>
      <w:kern w:val="44"/>
      <w:sz w:val="44"/>
      <w:szCs w:val="20"/>
    </w:rPr>
  </w:style>
  <w:style w:type="character" w:styleId="a5">
    <w:name w:val="Hyperlink"/>
    <w:uiPriority w:val="99"/>
    <w:semiHidden/>
    <w:unhideWhenUsed/>
    <w:rsid w:val="009F0D74"/>
    <w:rPr>
      <w:rFonts w:ascii="Times New Roman" w:hAnsi="Times New Roman" w:cs="Times New Roman" w:hint="default"/>
      <w:color w:val="0000FF"/>
      <w:u w:val="single"/>
    </w:rPr>
  </w:style>
  <w:style w:type="character" w:styleId="a6">
    <w:name w:val="FollowedHyperlink"/>
    <w:uiPriority w:val="99"/>
    <w:semiHidden/>
    <w:unhideWhenUsed/>
    <w:rsid w:val="009F0D74"/>
    <w:rPr>
      <w:rFonts w:ascii="Times New Roman" w:hAnsi="Times New Roman" w:cs="Times New Roman" w:hint="default"/>
      <w:color w:val="800080"/>
      <w:u w:val="single"/>
    </w:rPr>
  </w:style>
  <w:style w:type="character" w:styleId="a7">
    <w:name w:val="Strong"/>
    <w:uiPriority w:val="22"/>
    <w:qFormat/>
    <w:rsid w:val="009F0D74"/>
    <w:rPr>
      <w:rFonts w:ascii="Times New Roman" w:hAnsi="Times New Roman" w:cs="Times New Roman" w:hint="default"/>
      <w:b/>
      <w:bCs w:val="0"/>
    </w:rPr>
  </w:style>
  <w:style w:type="paragraph" w:styleId="a8">
    <w:name w:val="Normal (Web)"/>
    <w:basedOn w:val="a"/>
    <w:uiPriority w:val="99"/>
    <w:semiHidden/>
    <w:unhideWhenUsed/>
    <w:rsid w:val="009F0D74"/>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99"/>
    <w:semiHidden/>
    <w:unhideWhenUsed/>
    <w:rsid w:val="009F0D74"/>
    <w:pPr>
      <w:tabs>
        <w:tab w:val="right" w:leader="dot" w:pos="8400"/>
      </w:tabs>
      <w:adjustRightInd w:val="0"/>
      <w:spacing w:line="360" w:lineRule="auto"/>
    </w:pPr>
    <w:rPr>
      <w:rFonts w:ascii="Times New Roman" w:hAnsi="Times New Roman"/>
      <w:szCs w:val="20"/>
    </w:rPr>
  </w:style>
  <w:style w:type="paragraph" w:styleId="a9">
    <w:name w:val="Body Text"/>
    <w:basedOn w:val="a"/>
    <w:link w:val="Char1"/>
    <w:uiPriority w:val="99"/>
    <w:semiHidden/>
    <w:unhideWhenUsed/>
    <w:rsid w:val="009F0D74"/>
    <w:pPr>
      <w:tabs>
        <w:tab w:val="left" w:pos="1134"/>
        <w:tab w:val="left" w:pos="1276"/>
      </w:tabs>
      <w:adjustRightInd w:val="0"/>
      <w:spacing w:line="520" w:lineRule="exact"/>
    </w:pPr>
    <w:rPr>
      <w:rFonts w:ascii="仿宋_GB2312" w:eastAsia="仿宋_GB2312" w:hAnsi="Times New Roman"/>
      <w:kern w:val="0"/>
      <w:sz w:val="30"/>
      <w:szCs w:val="20"/>
    </w:rPr>
  </w:style>
  <w:style w:type="character" w:customStyle="1" w:styleId="Char1">
    <w:name w:val="正文文本 Char"/>
    <w:link w:val="a9"/>
    <w:uiPriority w:val="99"/>
    <w:semiHidden/>
    <w:rsid w:val="009F0D74"/>
    <w:rPr>
      <w:rFonts w:ascii="仿宋_GB2312" w:eastAsia="仿宋_GB2312" w:hAnsi="Times New Roman" w:cs="Times New Roman"/>
      <w:kern w:val="0"/>
      <w:sz w:val="30"/>
      <w:szCs w:val="20"/>
    </w:rPr>
  </w:style>
  <w:style w:type="paragraph" w:styleId="aa">
    <w:name w:val="Body Text Indent"/>
    <w:basedOn w:val="a"/>
    <w:link w:val="Char2"/>
    <w:uiPriority w:val="99"/>
    <w:semiHidden/>
    <w:unhideWhenUsed/>
    <w:rsid w:val="009F0D74"/>
    <w:pPr>
      <w:adjustRightInd w:val="0"/>
      <w:spacing w:after="120" w:line="360" w:lineRule="atLeast"/>
      <w:ind w:leftChars="200" w:left="420"/>
      <w:jc w:val="left"/>
    </w:pPr>
    <w:rPr>
      <w:rFonts w:ascii="Times New Roman" w:hAnsi="Times New Roman"/>
      <w:kern w:val="0"/>
      <w:sz w:val="24"/>
      <w:szCs w:val="20"/>
    </w:rPr>
  </w:style>
  <w:style w:type="character" w:customStyle="1" w:styleId="Char2">
    <w:name w:val="正文文本缩进 Char"/>
    <w:link w:val="aa"/>
    <w:uiPriority w:val="99"/>
    <w:semiHidden/>
    <w:rsid w:val="009F0D74"/>
    <w:rPr>
      <w:rFonts w:ascii="Times New Roman" w:eastAsia="宋体" w:hAnsi="Times New Roman" w:cs="Times New Roman"/>
      <w:kern w:val="0"/>
      <w:sz w:val="24"/>
      <w:szCs w:val="20"/>
    </w:rPr>
  </w:style>
  <w:style w:type="paragraph" w:styleId="ab">
    <w:name w:val="Subtitle"/>
    <w:basedOn w:val="a"/>
    <w:next w:val="a"/>
    <w:link w:val="Char3"/>
    <w:uiPriority w:val="99"/>
    <w:qFormat/>
    <w:rsid w:val="009F0D74"/>
    <w:pPr>
      <w:spacing w:before="240" w:after="60" w:line="312" w:lineRule="auto"/>
      <w:jc w:val="center"/>
      <w:outlineLvl w:val="1"/>
    </w:pPr>
    <w:rPr>
      <w:rFonts w:ascii="Cambria" w:hAnsi="Cambria" w:cs="Cambria"/>
      <w:b/>
      <w:bCs/>
      <w:kern w:val="28"/>
      <w:sz w:val="32"/>
      <w:szCs w:val="32"/>
    </w:rPr>
  </w:style>
  <w:style w:type="character" w:customStyle="1" w:styleId="Char3">
    <w:name w:val="副标题 Char"/>
    <w:link w:val="ab"/>
    <w:uiPriority w:val="99"/>
    <w:qFormat/>
    <w:rsid w:val="009F0D74"/>
    <w:rPr>
      <w:rFonts w:ascii="Cambria" w:eastAsia="宋体" w:hAnsi="Cambria" w:cs="Cambria"/>
      <w:b/>
      <w:bCs/>
      <w:kern w:val="28"/>
      <w:sz w:val="32"/>
      <w:szCs w:val="32"/>
    </w:rPr>
  </w:style>
  <w:style w:type="paragraph" w:styleId="ac">
    <w:name w:val="Date"/>
    <w:basedOn w:val="a"/>
    <w:next w:val="a"/>
    <w:link w:val="Char4"/>
    <w:uiPriority w:val="99"/>
    <w:semiHidden/>
    <w:unhideWhenUsed/>
    <w:rsid w:val="009F0D74"/>
    <w:pPr>
      <w:adjustRightInd w:val="0"/>
      <w:spacing w:line="360" w:lineRule="atLeast"/>
    </w:pPr>
    <w:rPr>
      <w:rFonts w:ascii="仿宋_GB2312" w:eastAsia="仿宋_GB2312" w:hAnsi="Times New Roman"/>
      <w:kern w:val="0"/>
      <w:sz w:val="30"/>
      <w:szCs w:val="20"/>
    </w:rPr>
  </w:style>
  <w:style w:type="character" w:customStyle="1" w:styleId="Char4">
    <w:name w:val="日期 Char"/>
    <w:link w:val="ac"/>
    <w:uiPriority w:val="99"/>
    <w:semiHidden/>
    <w:rsid w:val="009F0D74"/>
    <w:rPr>
      <w:rFonts w:ascii="仿宋_GB2312" w:eastAsia="仿宋_GB2312" w:hAnsi="Times New Roman" w:cs="Times New Roman"/>
      <w:kern w:val="0"/>
      <w:sz w:val="30"/>
      <w:szCs w:val="20"/>
    </w:rPr>
  </w:style>
  <w:style w:type="paragraph" w:styleId="ad">
    <w:name w:val="Plain Text"/>
    <w:basedOn w:val="a"/>
    <w:link w:val="Char5"/>
    <w:uiPriority w:val="99"/>
    <w:semiHidden/>
    <w:unhideWhenUsed/>
    <w:rsid w:val="009F0D74"/>
    <w:rPr>
      <w:rFonts w:ascii="宋体" w:hAnsi="Courier New"/>
      <w:kern w:val="0"/>
      <w:sz w:val="20"/>
      <w:szCs w:val="20"/>
    </w:rPr>
  </w:style>
  <w:style w:type="character" w:customStyle="1" w:styleId="Char5">
    <w:name w:val="纯文本 Char"/>
    <w:link w:val="ad"/>
    <w:uiPriority w:val="99"/>
    <w:semiHidden/>
    <w:rsid w:val="009F0D74"/>
    <w:rPr>
      <w:rFonts w:ascii="宋体" w:eastAsia="宋体" w:hAnsi="Courier New" w:cs="Times New Roman"/>
      <w:kern w:val="0"/>
      <w:sz w:val="20"/>
      <w:szCs w:val="20"/>
    </w:rPr>
  </w:style>
  <w:style w:type="paragraph" w:styleId="ae">
    <w:name w:val="Balloon Text"/>
    <w:basedOn w:val="a"/>
    <w:link w:val="Char6"/>
    <w:uiPriority w:val="99"/>
    <w:semiHidden/>
    <w:unhideWhenUsed/>
    <w:rsid w:val="009F0D74"/>
    <w:rPr>
      <w:sz w:val="18"/>
      <w:szCs w:val="18"/>
    </w:rPr>
  </w:style>
  <w:style w:type="character" w:customStyle="1" w:styleId="Char6">
    <w:name w:val="批注框文本 Char"/>
    <w:link w:val="ae"/>
    <w:uiPriority w:val="99"/>
    <w:semiHidden/>
    <w:rsid w:val="009F0D74"/>
    <w:rPr>
      <w:rFonts w:ascii="Calibri" w:eastAsia="宋体" w:hAnsi="Calibri" w:cs="Times New Roman"/>
      <w:sz w:val="18"/>
      <w:szCs w:val="18"/>
    </w:rPr>
  </w:style>
  <w:style w:type="paragraph" w:styleId="af">
    <w:name w:val="Revision"/>
    <w:uiPriority w:val="99"/>
    <w:semiHidden/>
    <w:rsid w:val="009F0D74"/>
    <w:rPr>
      <w:kern w:val="2"/>
      <w:sz w:val="21"/>
      <w:szCs w:val="22"/>
    </w:rPr>
  </w:style>
  <w:style w:type="character" w:customStyle="1" w:styleId="Char7">
    <w:name w:val="列出段落 Char"/>
    <w:link w:val="af0"/>
    <w:locked/>
    <w:rsid w:val="009F0D74"/>
    <w:rPr>
      <w:rFonts w:ascii="Calibri" w:hAnsi="Calibri" w:cs="Calibri"/>
      <w:sz w:val="22"/>
    </w:rPr>
  </w:style>
  <w:style w:type="paragraph" w:styleId="af0">
    <w:name w:val="List Paragraph"/>
    <w:basedOn w:val="a"/>
    <w:link w:val="Char7"/>
    <w:qFormat/>
    <w:rsid w:val="009F0D74"/>
    <w:pPr>
      <w:ind w:firstLineChars="200" w:firstLine="420"/>
    </w:pPr>
    <w:rPr>
      <w:rFonts w:cs="Calibri"/>
      <w:sz w:val="22"/>
    </w:rPr>
  </w:style>
  <w:style w:type="paragraph" w:customStyle="1" w:styleId="af1">
    <w:name w:val="表格文字"/>
    <w:basedOn w:val="a9"/>
    <w:uiPriority w:val="99"/>
    <w:semiHidden/>
    <w:rsid w:val="009F0D74"/>
    <w:pPr>
      <w:tabs>
        <w:tab w:val="clear" w:pos="1134"/>
        <w:tab w:val="clear" w:pos="1276"/>
      </w:tabs>
      <w:adjustRightInd/>
      <w:spacing w:line="240" w:lineRule="auto"/>
      <w:jc w:val="left"/>
    </w:pPr>
    <w:rPr>
      <w:rFonts w:ascii="宋体" w:eastAsia="宋体" w:hAnsi="宋体" w:cs="Arial"/>
      <w:bCs/>
      <w:kern w:val="2"/>
      <w:sz w:val="22"/>
      <w:lang w:val="zh-CN"/>
    </w:rPr>
  </w:style>
  <w:style w:type="paragraph" w:customStyle="1" w:styleId="ListParagraph1">
    <w:name w:val="List Paragraph1"/>
    <w:basedOn w:val="a"/>
    <w:uiPriority w:val="99"/>
    <w:semiHidden/>
    <w:qFormat/>
    <w:rsid w:val="009F0D74"/>
    <w:pPr>
      <w:ind w:firstLineChars="200" w:firstLine="420"/>
    </w:pPr>
    <w:rPr>
      <w:rFonts w:cs="Calibri"/>
      <w:szCs w:val="21"/>
    </w:rPr>
  </w:style>
  <w:style w:type="paragraph" w:customStyle="1" w:styleId="Default">
    <w:name w:val="Default"/>
    <w:uiPriority w:val="99"/>
    <w:semiHidden/>
    <w:qFormat/>
    <w:rsid w:val="009F0D74"/>
    <w:pPr>
      <w:widowControl w:val="0"/>
      <w:autoSpaceDE w:val="0"/>
      <w:autoSpaceDN w:val="0"/>
      <w:adjustRightInd w:val="0"/>
    </w:pPr>
    <w:rPr>
      <w:rFonts w:ascii="Wingdings" w:hAnsi="Wingdings" w:cs="Wingdings"/>
      <w:color w:val="000000"/>
      <w:sz w:val="24"/>
      <w:szCs w:val="24"/>
    </w:rPr>
  </w:style>
  <w:style w:type="character" w:styleId="af2">
    <w:name w:val="page number"/>
    <w:uiPriority w:val="99"/>
    <w:semiHidden/>
    <w:unhideWhenUsed/>
    <w:rsid w:val="009F0D7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74"/>
    <w:pPr>
      <w:widowControl w:val="0"/>
      <w:jc w:val="both"/>
    </w:pPr>
    <w:rPr>
      <w:kern w:val="2"/>
      <w:sz w:val="21"/>
      <w:szCs w:val="22"/>
    </w:rPr>
  </w:style>
  <w:style w:type="paragraph" w:styleId="1">
    <w:name w:val="heading 1"/>
    <w:basedOn w:val="a"/>
    <w:next w:val="a"/>
    <w:link w:val="1Char"/>
    <w:uiPriority w:val="9"/>
    <w:qFormat/>
    <w:rsid w:val="009F0D74"/>
    <w:pPr>
      <w:keepNext/>
      <w:keepLines/>
      <w:adjustRightInd w:val="0"/>
      <w:spacing w:before="340" w:after="330" w:line="578" w:lineRule="atLeast"/>
      <w:jc w:val="left"/>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D7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F0D74"/>
    <w:rPr>
      <w:sz w:val="18"/>
      <w:szCs w:val="18"/>
    </w:rPr>
  </w:style>
  <w:style w:type="paragraph" w:styleId="a4">
    <w:name w:val="footer"/>
    <w:basedOn w:val="a"/>
    <w:link w:val="Char0"/>
    <w:uiPriority w:val="99"/>
    <w:unhideWhenUsed/>
    <w:rsid w:val="009F0D74"/>
    <w:pPr>
      <w:tabs>
        <w:tab w:val="center" w:pos="4153"/>
        <w:tab w:val="right" w:pos="8306"/>
      </w:tabs>
      <w:snapToGrid w:val="0"/>
      <w:jc w:val="left"/>
    </w:pPr>
    <w:rPr>
      <w:sz w:val="18"/>
      <w:szCs w:val="18"/>
    </w:rPr>
  </w:style>
  <w:style w:type="character" w:customStyle="1" w:styleId="Char0">
    <w:name w:val="页脚 Char"/>
    <w:link w:val="a4"/>
    <w:uiPriority w:val="99"/>
    <w:rsid w:val="009F0D74"/>
    <w:rPr>
      <w:sz w:val="18"/>
      <w:szCs w:val="18"/>
    </w:rPr>
  </w:style>
  <w:style w:type="character" w:customStyle="1" w:styleId="1Char">
    <w:name w:val="标题 1 Char"/>
    <w:link w:val="1"/>
    <w:uiPriority w:val="9"/>
    <w:rsid w:val="009F0D74"/>
    <w:rPr>
      <w:rFonts w:ascii="Times New Roman" w:eastAsia="宋体" w:hAnsi="Times New Roman" w:cs="Times New Roman"/>
      <w:b/>
      <w:kern w:val="44"/>
      <w:sz w:val="44"/>
      <w:szCs w:val="20"/>
    </w:rPr>
  </w:style>
  <w:style w:type="character" w:styleId="a5">
    <w:name w:val="Hyperlink"/>
    <w:uiPriority w:val="99"/>
    <w:semiHidden/>
    <w:unhideWhenUsed/>
    <w:rsid w:val="009F0D74"/>
    <w:rPr>
      <w:rFonts w:ascii="Times New Roman" w:hAnsi="Times New Roman" w:cs="Times New Roman" w:hint="default"/>
      <w:color w:val="0000FF"/>
      <w:u w:val="single"/>
    </w:rPr>
  </w:style>
  <w:style w:type="character" w:styleId="a6">
    <w:name w:val="FollowedHyperlink"/>
    <w:uiPriority w:val="99"/>
    <w:semiHidden/>
    <w:unhideWhenUsed/>
    <w:rsid w:val="009F0D74"/>
    <w:rPr>
      <w:rFonts w:ascii="Times New Roman" w:hAnsi="Times New Roman" w:cs="Times New Roman" w:hint="default"/>
      <w:color w:val="800080"/>
      <w:u w:val="single"/>
    </w:rPr>
  </w:style>
  <w:style w:type="character" w:styleId="a7">
    <w:name w:val="Strong"/>
    <w:uiPriority w:val="22"/>
    <w:qFormat/>
    <w:rsid w:val="009F0D74"/>
    <w:rPr>
      <w:rFonts w:ascii="Times New Roman" w:hAnsi="Times New Roman" w:cs="Times New Roman" w:hint="default"/>
      <w:b/>
      <w:bCs w:val="0"/>
    </w:rPr>
  </w:style>
  <w:style w:type="paragraph" w:styleId="a8">
    <w:name w:val="Normal (Web)"/>
    <w:basedOn w:val="a"/>
    <w:uiPriority w:val="99"/>
    <w:semiHidden/>
    <w:unhideWhenUsed/>
    <w:rsid w:val="009F0D74"/>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autoRedefine/>
    <w:uiPriority w:val="99"/>
    <w:semiHidden/>
    <w:unhideWhenUsed/>
    <w:rsid w:val="009F0D74"/>
    <w:pPr>
      <w:tabs>
        <w:tab w:val="right" w:leader="dot" w:pos="8400"/>
      </w:tabs>
      <w:adjustRightInd w:val="0"/>
      <w:spacing w:line="360" w:lineRule="auto"/>
    </w:pPr>
    <w:rPr>
      <w:rFonts w:ascii="Times New Roman" w:hAnsi="Times New Roman"/>
      <w:szCs w:val="20"/>
    </w:rPr>
  </w:style>
  <w:style w:type="paragraph" w:styleId="a9">
    <w:name w:val="Body Text"/>
    <w:basedOn w:val="a"/>
    <w:link w:val="Char1"/>
    <w:uiPriority w:val="99"/>
    <w:semiHidden/>
    <w:unhideWhenUsed/>
    <w:rsid w:val="009F0D74"/>
    <w:pPr>
      <w:tabs>
        <w:tab w:val="left" w:pos="1134"/>
        <w:tab w:val="left" w:pos="1276"/>
      </w:tabs>
      <w:adjustRightInd w:val="0"/>
      <w:spacing w:line="520" w:lineRule="exact"/>
    </w:pPr>
    <w:rPr>
      <w:rFonts w:ascii="仿宋_GB2312" w:eastAsia="仿宋_GB2312" w:hAnsi="Times New Roman"/>
      <w:kern w:val="0"/>
      <w:sz w:val="30"/>
      <w:szCs w:val="20"/>
    </w:rPr>
  </w:style>
  <w:style w:type="character" w:customStyle="1" w:styleId="Char1">
    <w:name w:val="正文文本 Char"/>
    <w:link w:val="a9"/>
    <w:uiPriority w:val="99"/>
    <w:semiHidden/>
    <w:rsid w:val="009F0D74"/>
    <w:rPr>
      <w:rFonts w:ascii="仿宋_GB2312" w:eastAsia="仿宋_GB2312" w:hAnsi="Times New Roman" w:cs="Times New Roman"/>
      <w:kern w:val="0"/>
      <w:sz w:val="30"/>
      <w:szCs w:val="20"/>
    </w:rPr>
  </w:style>
  <w:style w:type="paragraph" w:styleId="aa">
    <w:name w:val="Body Text Indent"/>
    <w:basedOn w:val="a"/>
    <w:link w:val="Char2"/>
    <w:uiPriority w:val="99"/>
    <w:semiHidden/>
    <w:unhideWhenUsed/>
    <w:rsid w:val="009F0D74"/>
    <w:pPr>
      <w:adjustRightInd w:val="0"/>
      <w:spacing w:after="120" w:line="360" w:lineRule="atLeast"/>
      <w:ind w:leftChars="200" w:left="420"/>
      <w:jc w:val="left"/>
    </w:pPr>
    <w:rPr>
      <w:rFonts w:ascii="Times New Roman" w:hAnsi="Times New Roman"/>
      <w:kern w:val="0"/>
      <w:sz w:val="24"/>
      <w:szCs w:val="20"/>
    </w:rPr>
  </w:style>
  <w:style w:type="character" w:customStyle="1" w:styleId="Char2">
    <w:name w:val="正文文本缩进 Char"/>
    <w:link w:val="aa"/>
    <w:uiPriority w:val="99"/>
    <w:semiHidden/>
    <w:rsid w:val="009F0D74"/>
    <w:rPr>
      <w:rFonts w:ascii="Times New Roman" w:eastAsia="宋体" w:hAnsi="Times New Roman" w:cs="Times New Roman"/>
      <w:kern w:val="0"/>
      <w:sz w:val="24"/>
      <w:szCs w:val="20"/>
    </w:rPr>
  </w:style>
  <w:style w:type="paragraph" w:styleId="ab">
    <w:name w:val="Subtitle"/>
    <w:basedOn w:val="a"/>
    <w:next w:val="a"/>
    <w:link w:val="Char3"/>
    <w:uiPriority w:val="99"/>
    <w:qFormat/>
    <w:rsid w:val="009F0D74"/>
    <w:pPr>
      <w:spacing w:before="240" w:after="60" w:line="312" w:lineRule="auto"/>
      <w:jc w:val="center"/>
      <w:outlineLvl w:val="1"/>
    </w:pPr>
    <w:rPr>
      <w:rFonts w:ascii="Cambria" w:hAnsi="Cambria" w:cs="Cambria"/>
      <w:b/>
      <w:bCs/>
      <w:kern w:val="28"/>
      <w:sz w:val="32"/>
      <w:szCs w:val="32"/>
    </w:rPr>
  </w:style>
  <w:style w:type="character" w:customStyle="1" w:styleId="Char3">
    <w:name w:val="副标题 Char"/>
    <w:link w:val="ab"/>
    <w:uiPriority w:val="99"/>
    <w:qFormat/>
    <w:rsid w:val="009F0D74"/>
    <w:rPr>
      <w:rFonts w:ascii="Cambria" w:eastAsia="宋体" w:hAnsi="Cambria" w:cs="Cambria"/>
      <w:b/>
      <w:bCs/>
      <w:kern w:val="28"/>
      <w:sz w:val="32"/>
      <w:szCs w:val="32"/>
    </w:rPr>
  </w:style>
  <w:style w:type="paragraph" w:styleId="ac">
    <w:name w:val="Date"/>
    <w:basedOn w:val="a"/>
    <w:next w:val="a"/>
    <w:link w:val="Char4"/>
    <w:uiPriority w:val="99"/>
    <w:semiHidden/>
    <w:unhideWhenUsed/>
    <w:rsid w:val="009F0D74"/>
    <w:pPr>
      <w:adjustRightInd w:val="0"/>
      <w:spacing w:line="360" w:lineRule="atLeast"/>
    </w:pPr>
    <w:rPr>
      <w:rFonts w:ascii="仿宋_GB2312" w:eastAsia="仿宋_GB2312" w:hAnsi="Times New Roman"/>
      <w:kern w:val="0"/>
      <w:sz w:val="30"/>
      <w:szCs w:val="20"/>
    </w:rPr>
  </w:style>
  <w:style w:type="character" w:customStyle="1" w:styleId="Char4">
    <w:name w:val="日期 Char"/>
    <w:link w:val="ac"/>
    <w:uiPriority w:val="99"/>
    <w:semiHidden/>
    <w:rsid w:val="009F0D74"/>
    <w:rPr>
      <w:rFonts w:ascii="仿宋_GB2312" w:eastAsia="仿宋_GB2312" w:hAnsi="Times New Roman" w:cs="Times New Roman"/>
      <w:kern w:val="0"/>
      <w:sz w:val="30"/>
      <w:szCs w:val="20"/>
    </w:rPr>
  </w:style>
  <w:style w:type="paragraph" w:styleId="ad">
    <w:name w:val="Plain Text"/>
    <w:basedOn w:val="a"/>
    <w:link w:val="Char5"/>
    <w:uiPriority w:val="99"/>
    <w:semiHidden/>
    <w:unhideWhenUsed/>
    <w:rsid w:val="009F0D74"/>
    <w:rPr>
      <w:rFonts w:ascii="宋体" w:hAnsi="Courier New"/>
      <w:kern w:val="0"/>
      <w:sz w:val="20"/>
      <w:szCs w:val="20"/>
    </w:rPr>
  </w:style>
  <w:style w:type="character" w:customStyle="1" w:styleId="Char5">
    <w:name w:val="纯文本 Char"/>
    <w:link w:val="ad"/>
    <w:uiPriority w:val="99"/>
    <w:semiHidden/>
    <w:rsid w:val="009F0D74"/>
    <w:rPr>
      <w:rFonts w:ascii="宋体" w:eastAsia="宋体" w:hAnsi="Courier New" w:cs="Times New Roman"/>
      <w:kern w:val="0"/>
      <w:sz w:val="20"/>
      <w:szCs w:val="20"/>
    </w:rPr>
  </w:style>
  <w:style w:type="paragraph" w:styleId="ae">
    <w:name w:val="Balloon Text"/>
    <w:basedOn w:val="a"/>
    <w:link w:val="Char6"/>
    <w:uiPriority w:val="99"/>
    <w:semiHidden/>
    <w:unhideWhenUsed/>
    <w:rsid w:val="009F0D74"/>
    <w:rPr>
      <w:sz w:val="18"/>
      <w:szCs w:val="18"/>
    </w:rPr>
  </w:style>
  <w:style w:type="character" w:customStyle="1" w:styleId="Char6">
    <w:name w:val="批注框文本 Char"/>
    <w:link w:val="ae"/>
    <w:uiPriority w:val="99"/>
    <w:semiHidden/>
    <w:rsid w:val="009F0D74"/>
    <w:rPr>
      <w:rFonts w:ascii="Calibri" w:eastAsia="宋体" w:hAnsi="Calibri" w:cs="Times New Roman"/>
      <w:sz w:val="18"/>
      <w:szCs w:val="18"/>
    </w:rPr>
  </w:style>
  <w:style w:type="paragraph" w:styleId="af">
    <w:name w:val="Revision"/>
    <w:uiPriority w:val="99"/>
    <w:semiHidden/>
    <w:rsid w:val="009F0D74"/>
    <w:rPr>
      <w:kern w:val="2"/>
      <w:sz w:val="21"/>
      <w:szCs w:val="22"/>
    </w:rPr>
  </w:style>
  <w:style w:type="character" w:customStyle="1" w:styleId="Char7">
    <w:name w:val="列出段落 Char"/>
    <w:link w:val="af0"/>
    <w:locked/>
    <w:rsid w:val="009F0D74"/>
    <w:rPr>
      <w:rFonts w:ascii="Calibri" w:hAnsi="Calibri" w:cs="Calibri"/>
      <w:sz w:val="22"/>
    </w:rPr>
  </w:style>
  <w:style w:type="paragraph" w:styleId="af0">
    <w:name w:val="List Paragraph"/>
    <w:basedOn w:val="a"/>
    <w:link w:val="Char7"/>
    <w:qFormat/>
    <w:rsid w:val="009F0D74"/>
    <w:pPr>
      <w:ind w:firstLineChars="200" w:firstLine="420"/>
    </w:pPr>
    <w:rPr>
      <w:rFonts w:cs="Calibri"/>
      <w:sz w:val="22"/>
    </w:rPr>
  </w:style>
  <w:style w:type="paragraph" w:customStyle="1" w:styleId="af1">
    <w:name w:val="表格文字"/>
    <w:basedOn w:val="a9"/>
    <w:uiPriority w:val="99"/>
    <w:semiHidden/>
    <w:rsid w:val="009F0D74"/>
    <w:pPr>
      <w:tabs>
        <w:tab w:val="clear" w:pos="1134"/>
        <w:tab w:val="clear" w:pos="1276"/>
      </w:tabs>
      <w:adjustRightInd/>
      <w:spacing w:line="240" w:lineRule="auto"/>
      <w:jc w:val="left"/>
    </w:pPr>
    <w:rPr>
      <w:rFonts w:ascii="宋体" w:eastAsia="宋体" w:hAnsi="宋体" w:cs="Arial"/>
      <w:bCs/>
      <w:kern w:val="2"/>
      <w:sz w:val="22"/>
      <w:lang w:val="zh-CN"/>
    </w:rPr>
  </w:style>
  <w:style w:type="paragraph" w:customStyle="1" w:styleId="ListParagraph1">
    <w:name w:val="List Paragraph1"/>
    <w:basedOn w:val="a"/>
    <w:uiPriority w:val="99"/>
    <w:semiHidden/>
    <w:qFormat/>
    <w:rsid w:val="009F0D74"/>
    <w:pPr>
      <w:ind w:firstLineChars="200" w:firstLine="420"/>
    </w:pPr>
    <w:rPr>
      <w:rFonts w:cs="Calibri"/>
      <w:szCs w:val="21"/>
    </w:rPr>
  </w:style>
  <w:style w:type="paragraph" w:customStyle="1" w:styleId="Default">
    <w:name w:val="Default"/>
    <w:uiPriority w:val="99"/>
    <w:semiHidden/>
    <w:qFormat/>
    <w:rsid w:val="009F0D74"/>
    <w:pPr>
      <w:widowControl w:val="0"/>
      <w:autoSpaceDE w:val="0"/>
      <w:autoSpaceDN w:val="0"/>
      <w:adjustRightInd w:val="0"/>
    </w:pPr>
    <w:rPr>
      <w:rFonts w:ascii="Wingdings" w:hAnsi="Wingdings" w:cs="Wingdings"/>
      <w:color w:val="000000"/>
      <w:sz w:val="24"/>
      <w:szCs w:val="24"/>
    </w:rPr>
  </w:style>
  <w:style w:type="character" w:styleId="af2">
    <w:name w:val="page number"/>
    <w:uiPriority w:val="99"/>
    <w:semiHidden/>
    <w:unhideWhenUsed/>
    <w:rsid w:val="009F0D7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4E53-5AD6-43FF-8A51-02CE8B47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丁琳滢</dc:creator>
  <cp:lastModifiedBy>丁琳滢</cp:lastModifiedBy>
  <cp:revision>3</cp:revision>
  <dcterms:created xsi:type="dcterms:W3CDTF">2020-12-22T00:21:00Z</dcterms:created>
  <dcterms:modified xsi:type="dcterms:W3CDTF">2021-01-12T00:34:00Z</dcterms:modified>
</cp:coreProperties>
</file>