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6A" w:rsidRPr="00AB67C0" w:rsidRDefault="00C03E6A" w:rsidP="00C03E6A">
      <w:pPr>
        <w:spacing w:line="360" w:lineRule="auto"/>
        <w:jc w:val="center"/>
        <w:rPr>
          <w:rFonts w:ascii="宋体" w:hAnsi="宋体"/>
          <w:b/>
          <w:bCs/>
          <w:sz w:val="32"/>
          <w:szCs w:val="32"/>
        </w:rPr>
      </w:pPr>
      <w:r w:rsidRPr="00AB67C0">
        <w:rPr>
          <w:rFonts w:ascii="宋体" w:hAnsi="宋体" w:cs="宋体" w:hint="eastAsia"/>
          <w:b/>
          <w:bCs/>
          <w:sz w:val="32"/>
          <w:szCs w:val="32"/>
        </w:rPr>
        <w:t>新昌农商银行</w:t>
      </w:r>
      <w:r>
        <w:rPr>
          <w:rFonts w:ascii="宋体" w:hAnsi="宋体" w:cs="宋体" w:hint="eastAsia"/>
          <w:b/>
          <w:bCs/>
          <w:sz w:val="32"/>
          <w:szCs w:val="32"/>
        </w:rPr>
        <w:t>“</w:t>
      </w:r>
      <w:r w:rsidRPr="00AB67C0">
        <w:rPr>
          <w:rFonts w:ascii="宋体" w:hAnsi="宋体" w:hint="eastAsia"/>
          <w:b/>
          <w:sz w:val="32"/>
          <w:szCs w:val="32"/>
        </w:rPr>
        <w:t>丰收信福1号</w:t>
      </w:r>
      <w:r>
        <w:rPr>
          <w:rFonts w:ascii="宋体" w:hAnsi="宋体" w:hint="eastAsia"/>
          <w:b/>
          <w:sz w:val="32"/>
          <w:szCs w:val="32"/>
        </w:rPr>
        <w:t>”</w:t>
      </w:r>
      <w:r w:rsidRPr="00AB67C0">
        <w:rPr>
          <w:rFonts w:ascii="宋体" w:hAnsi="宋体" w:hint="eastAsia"/>
          <w:b/>
          <w:sz w:val="32"/>
          <w:szCs w:val="32"/>
        </w:rPr>
        <w:t>2020年</w:t>
      </w:r>
      <w:r w:rsidR="000F0C2A" w:rsidRPr="00AB67C0">
        <w:rPr>
          <w:rFonts w:ascii="宋体" w:hAnsi="宋体" w:hint="eastAsia"/>
          <w:b/>
          <w:sz w:val="32"/>
          <w:szCs w:val="32"/>
        </w:rPr>
        <w:t>第</w:t>
      </w:r>
      <w:r w:rsidR="00FE598D">
        <w:rPr>
          <w:rFonts w:ascii="宋体" w:hAnsi="宋体" w:hint="eastAsia"/>
          <w:b/>
          <w:sz w:val="32"/>
          <w:szCs w:val="32"/>
        </w:rPr>
        <w:t>1</w:t>
      </w:r>
      <w:r w:rsidR="00684E08">
        <w:rPr>
          <w:rFonts w:ascii="宋体" w:hAnsi="宋体" w:hint="eastAsia"/>
          <w:b/>
          <w:sz w:val="32"/>
          <w:szCs w:val="32"/>
        </w:rPr>
        <w:t>2</w:t>
      </w:r>
      <w:r w:rsidRPr="00AB67C0">
        <w:rPr>
          <w:rFonts w:ascii="宋体" w:hAnsi="宋体" w:hint="eastAsia"/>
          <w:b/>
          <w:sz w:val="32"/>
          <w:szCs w:val="32"/>
        </w:rPr>
        <w:t>期</w:t>
      </w:r>
      <w:r w:rsidRPr="00AB67C0">
        <w:rPr>
          <w:rFonts w:ascii="宋体" w:hAnsi="宋体" w:cs="宋体" w:hint="eastAsia"/>
          <w:b/>
          <w:bCs/>
          <w:sz w:val="32"/>
          <w:szCs w:val="32"/>
        </w:rPr>
        <w:t>人民币理财产品说明书</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重要提示</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1. 本产品不等同于银行存款和预期收益型理财产品。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2. 本产品仅向依据中华人民共和国有关法律法规及本产品说明书规定可以购买本理财计划的投资者发售。</w:t>
      </w:r>
    </w:p>
    <w:p w:rsidR="00C03E6A" w:rsidRPr="00AB67C0" w:rsidRDefault="00C03E6A" w:rsidP="00C03E6A">
      <w:pPr>
        <w:pStyle w:val="Default"/>
        <w:adjustRightInd/>
        <w:spacing w:line="360" w:lineRule="auto"/>
        <w:ind w:firstLineChars="200" w:firstLine="422"/>
        <w:rPr>
          <w:rFonts w:ascii="宋体" w:hAnsi="宋体" w:cs="宋体"/>
          <w:b/>
          <w:sz w:val="21"/>
          <w:szCs w:val="21"/>
        </w:rPr>
      </w:pPr>
      <w:r w:rsidRPr="00AB67C0">
        <w:rPr>
          <w:rFonts w:ascii="宋体" w:hAnsi="宋体" w:cs="宋体" w:hint="eastAsia"/>
          <w:b/>
          <w:sz w:val="21"/>
          <w:szCs w:val="21"/>
        </w:rPr>
        <w:t xml:space="preserve">3. 在购买本理财计划前，请投资者确保完全明白本理财计划的性质、其中涉及的风险以及投资者的自身情况。投资者若对本产品说明书的内容有任何疑问，请向新昌农商银行各营业网点咨询。 </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4. 本产品是非保本净值型产品。新昌农商银行对本理财产品的本金和收益不提供保证承诺。您应充分认识投资风险，谨慎投资。本产品主要风险为理财本金及收益风险，在极端市场情况下，投资者将损失本金。请投资者基于自身的独立判断进行投资决策。</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5. 投资者在新昌农商银行签署理财合约认购本产品前，应当仔细阅读本说明书及其他相关销售文件的全部内容，同时向新昌农商银行了解本产品的具体信息，确保自身完全了解该项投资的性质、投资所涉及的风险以及自身的风险承受能力，在慎重考虑后独立做出认购决定。</w:t>
      </w:r>
      <w:r w:rsidRPr="00AB67C0">
        <w:rPr>
          <w:rFonts w:ascii="宋体" w:hAnsi="宋体" w:hint="eastAsia"/>
          <w:b/>
          <w:bCs/>
          <w:color w:val="auto"/>
          <w:sz w:val="21"/>
          <w:szCs w:val="21"/>
        </w:rPr>
        <w:t>《新昌农商银行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w:t>
      </w:r>
      <w:r w:rsidRPr="00AB67C0">
        <w:rPr>
          <w:rFonts w:ascii="宋体" w:hAnsi="宋体" w:hint="eastAsia"/>
          <w:b/>
          <w:bCs/>
          <w:color w:val="auto"/>
          <w:sz w:val="21"/>
          <w:szCs w:val="21"/>
        </w:rPr>
        <w:t>人民币理财产品风险揭示书》、《新昌农商银行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理财产品客户权益须知》、《新昌农商银行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”2020年</w:t>
      </w:r>
      <w:r w:rsidR="00803B7C">
        <w:rPr>
          <w:rFonts w:ascii="宋体" w:hAnsi="宋体" w:hint="eastAsia"/>
          <w:b/>
          <w:bCs/>
          <w:color w:val="auto"/>
          <w:sz w:val="21"/>
          <w:szCs w:val="21"/>
        </w:rPr>
        <w:t>第</w:t>
      </w:r>
      <w:r w:rsidR="00684E08">
        <w:rPr>
          <w:rFonts w:ascii="宋体" w:hAnsi="宋体" w:hint="eastAsia"/>
          <w:b/>
          <w:bCs/>
          <w:color w:val="auto"/>
          <w:sz w:val="21"/>
          <w:szCs w:val="21"/>
        </w:rPr>
        <w:t>12</w:t>
      </w:r>
      <w:r w:rsidR="00803B7C">
        <w:rPr>
          <w:rFonts w:ascii="宋体" w:hAnsi="宋体" w:hint="eastAsia"/>
          <w:b/>
          <w:bCs/>
          <w:color w:val="auto"/>
          <w:sz w:val="21"/>
          <w:szCs w:val="21"/>
        </w:rPr>
        <w:t>期</w:t>
      </w:r>
      <w:r>
        <w:rPr>
          <w:rFonts w:ascii="宋体" w:hAnsi="宋体" w:hint="eastAsia"/>
          <w:b/>
          <w:bCs/>
          <w:color w:val="auto"/>
          <w:sz w:val="21"/>
          <w:szCs w:val="21"/>
        </w:rPr>
        <w:t>人民币理财</w:t>
      </w:r>
      <w:r w:rsidRPr="00AB67C0">
        <w:rPr>
          <w:rFonts w:ascii="宋体" w:hAnsi="宋体" w:hint="eastAsia"/>
          <w:b/>
          <w:bCs/>
          <w:color w:val="auto"/>
          <w:sz w:val="21"/>
          <w:szCs w:val="21"/>
        </w:rPr>
        <w:t>产品说明书》、《新昌农商行</w:t>
      </w:r>
      <w:r>
        <w:rPr>
          <w:rFonts w:ascii="宋体" w:hAnsi="宋体" w:hint="eastAsia"/>
          <w:b/>
          <w:bCs/>
          <w:color w:val="auto"/>
          <w:sz w:val="21"/>
          <w:szCs w:val="21"/>
        </w:rPr>
        <w:t>“</w:t>
      </w:r>
      <w:r w:rsidRPr="00AB67C0">
        <w:rPr>
          <w:rFonts w:ascii="宋体" w:hAnsi="宋体" w:hint="eastAsia"/>
          <w:b/>
          <w:bCs/>
          <w:color w:val="auto"/>
          <w:sz w:val="21"/>
          <w:szCs w:val="21"/>
        </w:rPr>
        <w:t>丰收信福1号</w:t>
      </w:r>
      <w:r>
        <w:rPr>
          <w:rFonts w:ascii="宋体" w:hAnsi="宋体" w:hint="eastAsia"/>
          <w:b/>
          <w:bCs/>
          <w:color w:val="auto"/>
          <w:sz w:val="21"/>
          <w:szCs w:val="21"/>
        </w:rPr>
        <w:t>”人民币</w:t>
      </w:r>
      <w:r w:rsidRPr="00AB67C0">
        <w:rPr>
          <w:rFonts w:ascii="宋体" w:hAnsi="宋体" w:hint="eastAsia"/>
          <w:b/>
          <w:bCs/>
          <w:color w:val="auto"/>
          <w:sz w:val="21"/>
          <w:szCs w:val="21"/>
        </w:rPr>
        <w:t>理财产品协议书》及业务凭证</w:t>
      </w:r>
      <w:r w:rsidRPr="00AB67C0">
        <w:rPr>
          <w:rFonts w:ascii="宋体" w:hAnsi="宋体" w:cs="宋体" w:hint="eastAsia"/>
          <w:b/>
          <w:sz w:val="21"/>
          <w:szCs w:val="21"/>
        </w:rPr>
        <w:t>，将共同构成客户与新昌农商银行之间的理财计划交易合同。</w:t>
      </w:r>
      <w:bookmarkStart w:id="0" w:name="_GoBack"/>
      <w:bookmarkEnd w:id="0"/>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6. 投资者在认购本产品后，应随时关注本产品的信息披露情况，及时获取相关信息。如对本产品有任何疑问、异议或意见，请联系新昌农商银行客户经理或反馈至银行营业网点。</w:t>
      </w:r>
    </w:p>
    <w:p w:rsidR="00C03E6A" w:rsidRPr="00AB67C0" w:rsidRDefault="00C03E6A" w:rsidP="00C03E6A">
      <w:pPr>
        <w:pStyle w:val="Default"/>
        <w:adjustRightInd/>
        <w:spacing w:line="360" w:lineRule="auto"/>
        <w:ind w:firstLineChars="200" w:firstLine="422"/>
        <w:rPr>
          <w:rFonts w:ascii="宋体" w:hAnsi="宋体" w:cs="Times New Roman"/>
          <w:b/>
          <w:sz w:val="21"/>
          <w:szCs w:val="21"/>
        </w:rPr>
      </w:pPr>
      <w:r w:rsidRPr="00AB67C0">
        <w:rPr>
          <w:rFonts w:ascii="宋体" w:hAnsi="宋体" w:cs="宋体" w:hint="eastAsia"/>
          <w:b/>
          <w:sz w:val="21"/>
          <w:szCs w:val="21"/>
        </w:rPr>
        <w:t>7. 新昌农商银行有权依法对本产品说明书进行解释。</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释义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本说明书中，除非另有明确说明，否则下列词语或简称具有如下含义：</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产品/理财计划：指新昌农商银行</w:t>
      </w:r>
      <w:r>
        <w:rPr>
          <w:rFonts w:ascii="宋体" w:hAnsi="宋体" w:cs="宋体" w:hint="eastAsia"/>
          <w:sz w:val="21"/>
          <w:szCs w:val="21"/>
        </w:rPr>
        <w:t>“</w:t>
      </w:r>
      <w:r w:rsidRPr="00AB67C0">
        <w:rPr>
          <w:rFonts w:ascii="宋体" w:hAnsi="宋体" w:cs="宋体" w:hint="eastAsia"/>
          <w:sz w:val="21"/>
          <w:szCs w:val="21"/>
        </w:rPr>
        <w:t>丰收信福1号</w:t>
      </w:r>
      <w:r>
        <w:rPr>
          <w:rFonts w:ascii="宋体" w:hAnsi="宋体" w:cs="宋体" w:hint="eastAsia"/>
          <w:sz w:val="21"/>
          <w:szCs w:val="21"/>
        </w:rPr>
        <w:t>”</w:t>
      </w:r>
      <w:r w:rsidRPr="00AB67C0">
        <w:rPr>
          <w:rFonts w:ascii="宋体" w:hAnsi="宋体" w:cs="宋体" w:hint="eastAsia"/>
          <w:sz w:val="21"/>
          <w:szCs w:val="21"/>
        </w:rPr>
        <w:t>人民币理财产品。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发行银行：指浙江新昌农村商业银行股份有限公司。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销售银行：指浙江新昌农村商业银行股份有限公司。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产品管理人：指浙江新昌农村商业银行股份有限公司。</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产品托管人：指招商银行股份有限公司杭州分行。</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理财产品认购期：是指银行接受客户认购本理财产品的起止期限。</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工作日：除双休日和国家法定假日外的法定工作日。</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投资周期：本理财产品投资周期是指产品成立日（含）至产品到期日（不含）之间的时间。</w:t>
      </w:r>
    </w:p>
    <w:p w:rsidR="00C03E6A" w:rsidRPr="00AB67C0" w:rsidRDefault="00C03E6A" w:rsidP="00C03E6A">
      <w:pPr>
        <w:pStyle w:val="a6"/>
        <w:numPr>
          <w:ilvl w:val="0"/>
          <w:numId w:val="1"/>
        </w:numPr>
        <w:spacing w:before="0" w:after="0" w:line="360" w:lineRule="auto"/>
        <w:jc w:val="both"/>
        <w:outlineLvl w:val="9"/>
        <w:rPr>
          <w:rFonts w:ascii="宋体" w:hAnsi="宋体"/>
          <w:sz w:val="28"/>
          <w:szCs w:val="28"/>
        </w:rPr>
      </w:pPr>
      <w:r w:rsidRPr="00AB67C0">
        <w:rPr>
          <w:rFonts w:ascii="宋体" w:hAnsi="宋体" w:cs="宋体" w:hint="eastAsia"/>
          <w:sz w:val="28"/>
          <w:szCs w:val="28"/>
        </w:rPr>
        <w:t>产品风险等级：</w:t>
      </w:r>
      <w:r w:rsidR="00C85400">
        <w:rPr>
          <w:rFonts w:ascii="宋体" w:hAnsi="宋体" w:cs="宋体" w:hint="eastAsia"/>
          <w:sz w:val="28"/>
          <w:szCs w:val="28"/>
        </w:rPr>
        <w:t>P</w:t>
      </w:r>
      <w:r w:rsidRPr="00AB67C0">
        <w:rPr>
          <w:rFonts w:ascii="宋体" w:hAnsi="宋体"/>
          <w:sz w:val="28"/>
          <w:szCs w:val="28"/>
        </w:rPr>
        <w:t>R2</w:t>
      </w:r>
    </w:p>
    <w:p w:rsidR="00C03E6A" w:rsidRPr="00AB67C0" w:rsidRDefault="00C03E6A" w:rsidP="00C03E6A">
      <w:pPr>
        <w:pStyle w:val="Default"/>
        <w:spacing w:line="360" w:lineRule="auto"/>
        <w:rPr>
          <w:rFonts w:ascii="宋体" w:hAnsi="宋体" w:cs="Times New Roman"/>
          <w:sz w:val="22"/>
          <w:szCs w:val="22"/>
        </w:rPr>
      </w:pPr>
      <w:r>
        <w:rPr>
          <w:rFonts w:ascii="宋体" w:hAnsi="宋体" w:cs="Times New Roman"/>
          <w:b/>
          <w:bCs/>
          <w:noProof/>
          <w:sz w:val="18"/>
          <w:szCs w:val="18"/>
        </w:rPr>
        <mc:AlternateContent>
          <mc:Choice Requires="wpg">
            <w:drawing>
              <wp:inline distT="0" distB="0" distL="0" distR="0" wp14:anchorId="7E144E0A" wp14:editId="6C02CEB7">
                <wp:extent cx="5829300" cy="2674620"/>
                <wp:effectExtent l="0" t="0" r="0" b="0"/>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300" cy="2674620"/>
                          <a:chOff x="0" y="0"/>
                          <a:chExt cx="6929" cy="3159"/>
                        </a:xfrm>
                      </wpg:grpSpPr>
                      <wps:wsp>
                        <wps:cNvPr id="2" name="Picture 3"/>
                        <wps:cNvSpPr>
                          <a:spLocks noChangeAspect="1" noChangeArrowheads="1" noTextEdit="1"/>
                        </wps:cNvSpPr>
                        <wps:spPr bwMode="auto">
                          <a:xfrm>
                            <a:off x="0" y="0"/>
                            <a:ext cx="6929" cy="31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Line 4"/>
                        <wps:cNvCnPr/>
                        <wps:spPr bwMode="auto">
                          <a:xfrm>
                            <a:off x="544" y="2691"/>
                            <a:ext cx="5026" cy="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Line 5"/>
                        <wps:cNvCnPr/>
                        <wps:spPr bwMode="auto">
                          <a:xfrm flipV="1">
                            <a:off x="815" y="234"/>
                            <a:ext cx="0" cy="25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6"/>
                        <wps:cNvSpPr>
                          <a:spLocks noChangeArrowheads="1"/>
                        </wps:cNvSpPr>
                        <wps:spPr bwMode="auto">
                          <a:xfrm>
                            <a:off x="951" y="2223"/>
                            <a:ext cx="679" cy="351"/>
                          </a:xfrm>
                          <a:prstGeom prst="rect">
                            <a:avLst/>
                          </a:prstGeom>
                          <a:solidFill>
                            <a:srgbClr val="FFFFFF"/>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R1</w:t>
                              </w:r>
                            </w:p>
                          </w:txbxContent>
                        </wps:txbx>
                        <wps:bodyPr rot="0" vert="horz" wrap="square" lIns="91440" tIns="45720" rIns="91440" bIns="45720" anchor="t" anchorCtr="0" upright="1">
                          <a:noAutofit/>
                        </wps:bodyPr>
                      </wps:wsp>
                      <wps:wsp>
                        <wps:cNvPr id="6" name="Rectangle 7"/>
                        <wps:cNvSpPr>
                          <a:spLocks noChangeArrowheads="1"/>
                        </wps:cNvSpPr>
                        <wps:spPr bwMode="auto">
                          <a:xfrm>
                            <a:off x="1495" y="1872"/>
                            <a:ext cx="543"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b/>
                                  <w:bCs/>
                                </w:rPr>
                                <w:t>R2</w:t>
                              </w:r>
                            </w:p>
                          </w:txbxContent>
                        </wps:txbx>
                        <wps:bodyPr rot="0" vert="horz" wrap="square" lIns="91440" tIns="45720" rIns="91440" bIns="45720" anchor="t" anchorCtr="0" upright="1">
                          <a:noAutofit/>
                        </wps:bodyPr>
                      </wps:wsp>
                      <wps:wsp>
                        <wps:cNvPr id="7" name="Rectangle 8"/>
                        <wps:cNvSpPr>
                          <a:spLocks noChangeArrowheads="1"/>
                        </wps:cNvSpPr>
                        <wps:spPr bwMode="auto">
                          <a:xfrm>
                            <a:off x="2038" y="1521"/>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R3</w:t>
                              </w:r>
                            </w:p>
                          </w:txbxContent>
                        </wps:txbx>
                        <wps:bodyPr rot="0" vert="horz" wrap="square" lIns="91440" tIns="45720" rIns="91440" bIns="45720" anchor="t" anchorCtr="0" upright="1">
                          <a:noAutofit/>
                        </wps:bodyPr>
                      </wps:wsp>
                      <wps:wsp>
                        <wps:cNvPr id="8" name="Rectangle 9"/>
                        <wps:cNvSpPr>
                          <a:spLocks noChangeArrowheads="1"/>
                        </wps:cNvSpPr>
                        <wps:spPr bwMode="auto">
                          <a:xfrm>
                            <a:off x="1495" y="1872"/>
                            <a:ext cx="667" cy="351"/>
                          </a:xfrm>
                          <a:prstGeom prst="rect">
                            <a:avLst/>
                          </a:prstGeom>
                          <a:solidFill>
                            <a:srgbClr val="FFFF00"/>
                          </a:solidFill>
                          <a:ln w="9525">
                            <a:solidFill>
                              <a:srgbClr val="000000"/>
                            </a:solidFill>
                            <a:miter lim="800000"/>
                            <a:headEnd/>
                            <a:tailEnd/>
                          </a:ln>
                        </wps:spPr>
                        <wps:txbx>
                          <w:txbxContent>
                            <w:p w:rsidR="001D0CAB" w:rsidRDefault="001D0CAB" w:rsidP="00C03E6A">
                              <w:pPr>
                                <w:ind w:firstLineChars="49" w:firstLine="103"/>
                                <w:rPr>
                                  <w:b/>
                                  <w:bCs/>
                                </w:rPr>
                              </w:pPr>
                              <w:r>
                                <w:rPr>
                                  <w:rFonts w:hint="eastAsia"/>
                                  <w:b/>
                                  <w:bCs/>
                                </w:rPr>
                                <w:t>P</w:t>
                              </w:r>
                              <w:r>
                                <w:rPr>
                                  <w:b/>
                                  <w:bCs/>
                                </w:rPr>
                                <w:t>R2</w:t>
                              </w:r>
                            </w:p>
                          </w:txbxContent>
                        </wps:txbx>
                        <wps:bodyPr rot="0" vert="horz" wrap="square" lIns="91440" tIns="45720" rIns="91440" bIns="45720" anchor="t" anchorCtr="0" upright="1">
                          <a:noAutofit/>
                        </wps:bodyPr>
                      </wps:wsp>
                      <wps:wsp>
                        <wps:cNvPr id="9" name="Rectangle 10"/>
                        <wps:cNvSpPr>
                          <a:spLocks noChangeArrowheads="1"/>
                        </wps:cNvSpPr>
                        <wps:spPr bwMode="auto">
                          <a:xfrm>
                            <a:off x="3125" y="819"/>
                            <a:ext cx="634"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R5</w:t>
                              </w:r>
                            </w:p>
                          </w:txbxContent>
                        </wps:txbx>
                        <wps:bodyPr rot="0" vert="horz" wrap="square" lIns="91440" tIns="45720" rIns="91440" bIns="45720" anchor="t" anchorCtr="0" upright="1">
                          <a:noAutofit/>
                        </wps:bodyPr>
                      </wps:wsp>
                      <wps:wsp>
                        <wps:cNvPr id="10" name="Rectangle 11"/>
                        <wps:cNvSpPr>
                          <a:spLocks noChangeArrowheads="1"/>
                        </wps:cNvSpPr>
                        <wps:spPr bwMode="auto">
                          <a:xfrm>
                            <a:off x="1630" y="2808"/>
                            <a:ext cx="3940" cy="35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0CAB" w:rsidRDefault="001D0CAB" w:rsidP="00C03E6A">
                              <w:pPr>
                                <w:jc w:val="center"/>
                                <w:rPr>
                                  <w:sz w:val="18"/>
                                  <w:szCs w:val="18"/>
                                </w:rPr>
                              </w:pPr>
                              <w:r>
                                <w:rPr>
                                  <w:rFonts w:cs="宋体" w:hint="eastAsia"/>
                                  <w:sz w:val="18"/>
                                  <w:szCs w:val="18"/>
                                </w:rPr>
                                <w:t>风险程度</w:t>
                              </w:r>
                            </w:p>
                          </w:txbxContent>
                        </wps:txbx>
                        <wps:bodyPr rot="0" vert="horz" wrap="square" lIns="91440" tIns="45720" rIns="91440" bIns="45720" anchor="t" anchorCtr="0" upright="1">
                          <a:noAutofit/>
                        </wps:bodyPr>
                      </wps:wsp>
                      <wps:wsp>
                        <wps:cNvPr id="11" name="Rectangle 12"/>
                        <wps:cNvSpPr>
                          <a:spLocks noChangeArrowheads="1"/>
                        </wps:cNvSpPr>
                        <wps:spPr bwMode="auto">
                          <a:xfrm>
                            <a:off x="2582" y="1170"/>
                            <a:ext cx="611" cy="351"/>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D0CAB" w:rsidRDefault="001D0CAB" w:rsidP="00C03E6A">
                              <w:pPr>
                                <w:ind w:firstLineChars="49" w:firstLine="103"/>
                                <w:rPr>
                                  <w:b/>
                                  <w:bCs/>
                                </w:rPr>
                              </w:pPr>
                              <w:r>
                                <w:rPr>
                                  <w:rFonts w:hint="eastAsia"/>
                                  <w:b/>
                                  <w:bCs/>
                                </w:rPr>
                                <w:t>P</w:t>
                              </w:r>
                              <w:r>
                                <w:rPr>
                                  <w:b/>
                                  <w:bCs/>
                                </w:rPr>
                                <w:t>R4</w:t>
                              </w:r>
                            </w:p>
                          </w:txbxContent>
                        </wps:txbx>
                        <wps:bodyPr rot="0" vert="horz" wrap="square" lIns="91440" tIns="45720" rIns="91440" bIns="45720" anchor="t" anchorCtr="0" upright="1">
                          <a:noAutofit/>
                        </wps:bodyPr>
                      </wps:wsp>
                    </wpg:wgp>
                  </a:graphicData>
                </a:graphic>
              </wp:inline>
            </w:drawing>
          </mc:Choice>
          <mc:Fallback>
            <w:pict>
              <v:group id="组合 1" o:spid="_x0000_s1026" style="width:459pt;height:210.6pt;mso-position-horizontal-relative:char;mso-position-vertical-relative:line" coordsize="6929,3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">
                <v:rect id="Picture 3" o:spid="_x0000_s1027" style="position:absolute;width:6929;height:31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F9acMA&#10;AADaAAAADwAAAGRycy9kb3ducmV2LnhtbESPT4vCMBTE78J+h/AWvMia6kGka5RFWCyLINY/50fz&#10;bIvNS22ybf32RhA8DjPzG2ax6k0lWmpcaVnBZByBIM6sLjlXcDz8fs1BOI+ssbJMCu7kYLX8GCww&#10;1rbjPbWpz0WAsItRQeF9HUvpsoIMurGtiYN3sY1BH2STS91gF+CmktMomkmDJYeFAmtaF5Rd03+j&#10;oMt27fmw3cjd6JxYviW3dXr6U2r42f98g/DU+3f41U60gik8r4Qb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F9acMAAADaAAAADwAAAAAAAAAAAAAAAACYAgAAZHJzL2Rv&#10;d25yZXYueG1sUEsFBgAAAAAEAAQA9QAAAIgDAAAAAA==&#10;" filled="f" stroked="f">
                  <o:lock v:ext="edit" aspectratio="t" text="t"/>
                </v:rect>
                <v:line id="Line 4" o:spid="_x0000_s1028" style="position:absolute;visibility:visible;mso-wrap-style:square" from="544,2691" to="5570,2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flip:y;visibility:visible;mso-wrap-style:square" from="815,234" to="815,2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3JMAAAADaAAAADwAAAGRycy9kb3ducmV2LnhtbERPTWvCQBC9F/wPyxR6CXXTKtJGV7FV&#10;QSg9GD30OGTHJDQ7G7JTjf/eFYQeH+97tuhdo07UhdqzgZdhCoq48Lbm0sBhv3l+AxUE2WLjmQxc&#10;KMBiPniYYWb9mXd0yqVUMYRDhgYqkTbTOhQVOQxD3xJH7ug7hxJhV2rb4TmGu0a/pulEO6w5NlTY&#10;0mdFxW/+5+KMzTevRqPkw+kkeaf1j3ylWox5euyXU1BCvfyL7+6tNTCG25XoBz2/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tyTAAAAA2gAAAA8AAAAAAAAAAAAAAAAA&#10;oQIAAGRycy9kb3ducmV2LnhtbFBLBQYAAAAABAAEAPkAAACOAwAAAAA=&#10;">
                  <v:stroke endarrow="block"/>
                </v:line>
                <v:rect id="Rectangle 6" o:spid="_x0000_s1030" style="position:absolute;left:951;top:2223;width:679;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1D0CAB" w:rsidRDefault="001D0CAB" w:rsidP="00C03E6A">
                        <w:pPr>
                          <w:ind w:firstLineChars="49" w:firstLine="103"/>
                          <w:rPr>
                            <w:b/>
                            <w:bCs/>
                          </w:rPr>
                        </w:pPr>
                        <w:r>
                          <w:rPr>
                            <w:rFonts w:hint="eastAsia"/>
                            <w:b/>
                            <w:bCs/>
                          </w:rPr>
                          <w:t>P</w:t>
                        </w:r>
                        <w:r>
                          <w:rPr>
                            <w:b/>
                            <w:bCs/>
                          </w:rPr>
                          <w:t>R1</w:t>
                        </w:r>
                      </w:p>
                    </w:txbxContent>
                  </v:textbox>
                </v:rect>
                <v:rect id="Rectangle 7" o:spid="_x0000_s1031" style="position:absolute;left:1495;top:1872;width:543;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dYO8IA&#10;AADaAAAADwAAAGRycy9kb3ducmV2LnhtbESPQWsCMRSE7wX/Q3iCt27WglJWo6xSoSdBK6i3x+aZ&#10;LG5elk3qbv99IxR6HGbmG2a5HlwjHtSF2rOCaZaDIK68rtkoOH3tXt9BhIissfFMCn4owHo1elli&#10;oX3PB3ocoxEJwqFABTbGtpAyVJYchsy3xMm7+c5hTLIzUnfYJ7hr5Fuez6XDmtOCxZa2lqr78dsp&#10;+Giv+3JmgizP0V7uftPv7N4oNRkP5QJEpCH+h//an1rBHJ5X0g2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t1g7wgAAANoAAAAPAAAAAAAAAAAAAAAAAJgCAABkcnMvZG93&#10;bnJldi54bWxQSwUGAAAAAAQABAD1AAAAhwMAAAAA&#10;" filled="f">
                  <v:textbox>
                    <w:txbxContent>
                      <w:p w:rsidR="001D0CAB" w:rsidRDefault="001D0CAB" w:rsidP="00C03E6A">
                        <w:pPr>
                          <w:ind w:firstLineChars="49" w:firstLine="103"/>
                          <w:rPr>
                            <w:b/>
                            <w:bCs/>
                          </w:rPr>
                        </w:pPr>
                        <w:r>
                          <w:rPr>
                            <w:b/>
                            <w:bCs/>
                          </w:rPr>
                          <w:t>R2</w:t>
                        </w:r>
                      </w:p>
                    </w:txbxContent>
                  </v:textbox>
                </v:rect>
                <v:rect id="Rectangle 8" o:spid="_x0000_s1032" style="position:absolute;left:2038;top:1521;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v9oMMA&#10;AADaAAAADwAAAGRycy9kb3ducmV2LnhtbESPQWvCQBSE7wX/w/IEb3VTobakbiSKgiehWtDeHtnX&#10;3ZDs25DdmvTfd4VCj8PMfMOs1qNrxY36UHtW8DTPQBBXXtdsFHyc94+vIEJE1th6JgU/FGBdTB5W&#10;mGs/8DvdTtGIBOGQowIbY5dLGSpLDsPcd8TJ+/K9w5hkb6TucUhw18pFli2lw5rTgsWOtpaq5vTt&#10;FOy6z2P5bIIsL9FeG78Z9vZolJpNx/INRKQx/of/2get4A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v9oM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R3</w:t>
                        </w:r>
                      </w:p>
                    </w:txbxContent>
                  </v:textbox>
                </v:rect>
                <v:rect id="Rectangle 9" o:spid="_x0000_s1033" style="position:absolute;left:1495;top:1872;width:667;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RZ+8AA&#10;AADaAAAADwAAAGRycy9kb3ducmV2LnhtbERPy4rCMBTdD/gP4Q64G9MRlNoxlsEXzka0iutLc21L&#10;m5vSRK1/P1kILg/nPU9704g7da6yrOB7FIEgzq2uuFBwPm2+YhDOI2tsLJOCJzlIF4OPOSbaPvhI&#10;98wXIoSwS1BB6X2bSOnykgy6kW2JA3e1nUEfYFdI3eEjhJtGjqNoKg1WHBpKbGlZUl5nN6Nge27/&#10;6mz5HMf7w2SdxavL7Lq/KDX87H9/QHjq/Vv8cu+0grA1XAk3QC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LRZ+8AAAADaAAAADwAAAAAAAAAAAAAAAACYAgAAZHJzL2Rvd25y&#10;ZXYueG1sUEsFBgAAAAAEAAQA9QAAAIUDAAAAAA==&#10;" fillcolor="yellow">
                  <v:textbox>
                    <w:txbxContent>
                      <w:p w:rsidR="001D0CAB" w:rsidRDefault="001D0CAB" w:rsidP="00C03E6A">
                        <w:pPr>
                          <w:ind w:firstLineChars="49" w:firstLine="103"/>
                          <w:rPr>
                            <w:b/>
                            <w:bCs/>
                          </w:rPr>
                        </w:pPr>
                        <w:r>
                          <w:rPr>
                            <w:rFonts w:hint="eastAsia"/>
                            <w:b/>
                            <w:bCs/>
                          </w:rPr>
                          <w:t>P</w:t>
                        </w:r>
                        <w:r>
                          <w:rPr>
                            <w:b/>
                            <w:bCs/>
                          </w:rPr>
                          <w:t>R2</w:t>
                        </w:r>
                      </w:p>
                    </w:txbxContent>
                  </v:textbox>
                </v:rect>
                <v:rect id="Rectangle 10" o:spid="_x0000_s1034" style="position:absolute;left:3125;top:819;width:634;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jMScMA&#10;AADaAAAADwAAAGRycy9kb3ducmV2LnhtbESPQWvCQBSE7wX/w/IEb3VTodKmbiSKgiehWtDeHtnX&#10;3ZDs25DdmvTfd4VCj8PMfMOs1qNrxY36UHtW8DTPQBBXXtdsFHyc948vIEJE1th6JgU/FGBdTB5W&#10;mGs/8DvdTtGIBOGQowIbY5dLGSpLDsPcd8TJ+/K9w5hkb6TucUhw18pFli2lw5rTgsWOtpaq5vTt&#10;FOy6z2P5bIIsL9FeG78Z9vZolJpNx/INRKQx/of/2get4BXuV9INkM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jMScMAAADaAAAADwAAAAAAAAAAAAAAAACYAgAAZHJzL2Rv&#10;d25yZXYueG1sUEsFBgAAAAAEAAQA9QAAAIgDAAAAAA==&#10;" filled="f">
                  <v:textbox>
                    <w:txbxContent>
                      <w:p w:rsidR="001D0CAB" w:rsidRDefault="001D0CAB" w:rsidP="00C03E6A">
                        <w:pPr>
                          <w:ind w:firstLineChars="49" w:firstLine="103"/>
                          <w:rPr>
                            <w:b/>
                            <w:bCs/>
                          </w:rPr>
                        </w:pPr>
                        <w:r>
                          <w:rPr>
                            <w:rFonts w:hint="eastAsia"/>
                            <w:b/>
                            <w:bCs/>
                          </w:rPr>
                          <w:t>P</w:t>
                        </w:r>
                        <w:r>
                          <w:rPr>
                            <w:b/>
                            <w:bCs/>
                          </w:rPr>
                          <w:t>R5</w:t>
                        </w:r>
                      </w:p>
                    </w:txbxContent>
                  </v:textbox>
                </v:rect>
                <v:rect id="Rectangle 11" o:spid="_x0000_s1035" style="position:absolute;left:1630;top:2808;width:3940;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textbox>
                    <w:txbxContent>
                      <w:p w:rsidR="001D0CAB" w:rsidRDefault="001D0CAB" w:rsidP="00C03E6A">
                        <w:pPr>
                          <w:jc w:val="center"/>
                          <w:rPr>
                            <w:sz w:val="18"/>
                            <w:szCs w:val="18"/>
                          </w:rPr>
                        </w:pPr>
                        <w:r>
                          <w:rPr>
                            <w:rFonts w:cs="宋体" w:hint="eastAsia"/>
                            <w:sz w:val="18"/>
                            <w:szCs w:val="18"/>
                          </w:rPr>
                          <w:t>风险程度</w:t>
                        </w:r>
                      </w:p>
                    </w:txbxContent>
                  </v:textbox>
                </v:rect>
                <v:rect id="Rectangle 12" o:spid="_x0000_s1036" style="position:absolute;left:2582;top:1170;width:611;height:3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Hcy8EA&#10;AADbAAAADwAAAGRycy9kb3ducmV2LnhtbERPyWrDMBC9B/oPYgq9xXIKLcGJYpzSQE+BLNDmNlgT&#10;ydgaGUuN3b+PCoXe5vHWWZeT68SNhtB4VrDIchDEtdcNGwXn026+BBEissbOMyn4oQDl5mG2xkL7&#10;kQ90O0YjUgiHAhXYGPtCylBbchgy3xMn7uoHhzHBwUg94JjCXSef8/xVOmw4NVjs6c1S3R6/nYL3&#10;/rKvXkyQ1We0X63fjju7N0o9PU7VCkSkKf6L/9wfOs1fwO8v6QC5u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R3MvBAAAA2wAAAA8AAAAAAAAAAAAAAAAAmAIAAGRycy9kb3du&#10;cmV2LnhtbFBLBQYAAAAABAAEAPUAAACGAwAAAAA=&#10;" filled="f">
                  <v:textbox>
                    <w:txbxContent>
                      <w:p w:rsidR="001D0CAB" w:rsidRDefault="001D0CAB" w:rsidP="00C03E6A">
                        <w:pPr>
                          <w:ind w:firstLineChars="49" w:firstLine="103"/>
                          <w:rPr>
                            <w:b/>
                            <w:bCs/>
                          </w:rPr>
                        </w:pPr>
                        <w:r>
                          <w:rPr>
                            <w:rFonts w:hint="eastAsia"/>
                            <w:b/>
                            <w:bCs/>
                          </w:rPr>
                          <w:t>P</w:t>
                        </w:r>
                        <w:r>
                          <w:rPr>
                            <w:b/>
                            <w:bCs/>
                          </w:rPr>
                          <w:t>R4</w:t>
                        </w:r>
                      </w:p>
                    </w:txbxContent>
                  </v:textbox>
                </v:rect>
                <w10:anchorlock/>
              </v:group>
            </w:pict>
          </mc:Fallback>
        </mc:AlternateConten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产品风险评级由新昌农商银行根据产品投资对象、实际的风险控制情况、投资运作情况等合理确定。根据新昌农商银行内部风险评级标准，本产品的风险等级为</w:t>
      </w:r>
      <w:r w:rsidR="00C85400">
        <w:rPr>
          <w:rFonts w:ascii="宋体" w:hAnsi="宋体" w:cs="宋体" w:hint="eastAsia"/>
          <w:sz w:val="21"/>
          <w:szCs w:val="21"/>
        </w:rPr>
        <w:t>P</w:t>
      </w:r>
      <w:r w:rsidRPr="00AB67C0">
        <w:rPr>
          <w:rFonts w:ascii="宋体" w:hAnsi="宋体" w:cs="宋体" w:hint="eastAsia"/>
          <w:sz w:val="21"/>
          <w:szCs w:val="21"/>
        </w:rPr>
        <w:t>R2，较低风险。该评级仅是新昌农商银行内部测评结果，仅供投资者参考，不具有任何法律约束力。</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产品投资</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（一）投资范围</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本理财产品为固定收益类产品，本金主要投资于以下符合监管要求的各类资产：</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固定收益类资产，包括但不限于各类债券、存款、货币市场金融工具等高流动性资产、债券基金、质押式及买断式回购、符合监管要求的债权类资产及其他符合监管要求的资产及以上述资产为投资标的资产管理产品。</w:t>
      </w:r>
    </w:p>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t>（二）投资比例</w:t>
      </w:r>
    </w:p>
    <w:tbl>
      <w:tblPr>
        <w:tblW w:w="6847" w:type="dxa"/>
        <w:jc w:val="center"/>
        <w:tblLook w:val="04A0" w:firstRow="1" w:lastRow="0" w:firstColumn="1" w:lastColumn="0" w:noHBand="0" w:noVBand="1"/>
      </w:tblPr>
      <w:tblGrid>
        <w:gridCol w:w="1227"/>
        <w:gridCol w:w="2880"/>
        <w:gridCol w:w="2740"/>
      </w:tblGrid>
      <w:tr w:rsidR="00C03E6A" w:rsidRPr="00D56A8B" w:rsidTr="001D0CAB">
        <w:trPr>
          <w:trHeight w:val="270"/>
          <w:jc w:val="center"/>
        </w:trPr>
        <w:tc>
          <w:tcPr>
            <w:tcW w:w="12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资产类别</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资产种类</w:t>
            </w:r>
          </w:p>
        </w:tc>
        <w:tc>
          <w:tcPr>
            <w:tcW w:w="2740" w:type="dxa"/>
            <w:tcBorders>
              <w:top w:val="single" w:sz="4" w:space="0" w:color="auto"/>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投资比例</w:t>
            </w:r>
          </w:p>
        </w:tc>
      </w:tr>
      <w:tr w:rsidR="00C03E6A" w:rsidRPr="00D56A8B" w:rsidTr="001D0CAB">
        <w:trPr>
          <w:trHeight w:val="270"/>
          <w:jc w:val="center"/>
        </w:trPr>
        <w:tc>
          <w:tcPr>
            <w:tcW w:w="1227"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固定收益类</w:t>
            </w: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现金等货币市场工具类</w:t>
            </w:r>
          </w:p>
        </w:tc>
        <w:tc>
          <w:tcPr>
            <w:tcW w:w="2740" w:type="dxa"/>
            <w:tcBorders>
              <w:top w:val="nil"/>
              <w:left w:val="nil"/>
              <w:bottom w:val="single" w:sz="4" w:space="0" w:color="auto"/>
              <w:right w:val="single" w:sz="4" w:space="0" w:color="auto"/>
            </w:tcBorders>
            <w:shd w:val="clear" w:color="auto" w:fill="auto"/>
            <w:noWrap/>
            <w:vAlign w:val="bottom"/>
            <w:hideMark/>
          </w:tcPr>
          <w:p w:rsidR="00C03E6A" w:rsidRPr="00AB67C0" w:rsidRDefault="00C03E6A" w:rsidP="001D0CAB">
            <w:pPr>
              <w:widowControl/>
              <w:jc w:val="center"/>
              <w:rPr>
                <w:rFonts w:ascii="宋体" w:hAnsi="宋体" w:cs="宋体"/>
                <w:color w:val="000000"/>
                <w:kern w:val="0"/>
                <w:sz w:val="20"/>
              </w:rPr>
            </w:pPr>
            <w:r w:rsidRPr="00AB67C0">
              <w:rPr>
                <w:rFonts w:ascii="宋体" w:hAnsi="宋体" w:cs="宋体" w:hint="eastAsia"/>
                <w:color w:val="000000"/>
                <w:kern w:val="0"/>
                <w:sz w:val="20"/>
              </w:rPr>
              <w:t>0-20%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债券类</w:t>
            </w:r>
          </w:p>
        </w:tc>
        <w:tc>
          <w:tcPr>
            <w:tcW w:w="2740" w:type="dxa"/>
            <w:vMerge w:val="restart"/>
            <w:tcBorders>
              <w:top w:val="nil"/>
              <w:left w:val="single" w:sz="4" w:space="0" w:color="auto"/>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20"/>
                <w:szCs w:val="18"/>
              </w:rPr>
            </w:pPr>
            <w:r w:rsidRPr="00AB67C0">
              <w:rPr>
                <w:rFonts w:ascii="宋体" w:hAnsi="宋体" w:cs="宋体" w:hint="eastAsia"/>
                <w:color w:val="000000"/>
                <w:kern w:val="0"/>
                <w:sz w:val="20"/>
                <w:szCs w:val="18"/>
              </w:rPr>
              <w:t>80%-100%</w:t>
            </w:r>
          </w:p>
        </w:tc>
      </w:tr>
      <w:tr w:rsidR="00C03E6A" w:rsidRPr="00D56A8B" w:rsidTr="001D0CAB">
        <w:trPr>
          <w:trHeight w:val="270"/>
          <w:jc w:val="center"/>
        </w:trPr>
        <w:tc>
          <w:tcPr>
            <w:tcW w:w="1227"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c>
          <w:tcPr>
            <w:tcW w:w="2880" w:type="dxa"/>
            <w:tcBorders>
              <w:top w:val="nil"/>
              <w:left w:val="nil"/>
              <w:bottom w:val="single" w:sz="4" w:space="0" w:color="auto"/>
              <w:right w:val="single" w:sz="4" w:space="0" w:color="auto"/>
            </w:tcBorders>
            <w:shd w:val="clear" w:color="auto" w:fill="auto"/>
            <w:vAlign w:val="center"/>
            <w:hideMark/>
          </w:tcPr>
          <w:p w:rsidR="00C03E6A" w:rsidRPr="00AB67C0" w:rsidRDefault="00C03E6A" w:rsidP="001D0CAB">
            <w:pPr>
              <w:widowControl/>
              <w:jc w:val="center"/>
              <w:rPr>
                <w:rFonts w:ascii="宋体" w:hAnsi="宋体" w:cs="宋体"/>
                <w:color w:val="000000"/>
                <w:kern w:val="0"/>
                <w:sz w:val="18"/>
                <w:szCs w:val="18"/>
              </w:rPr>
            </w:pPr>
            <w:r w:rsidRPr="00AB67C0">
              <w:rPr>
                <w:rFonts w:ascii="宋体" w:hAnsi="宋体" w:cs="宋体" w:hint="eastAsia"/>
                <w:color w:val="000000"/>
                <w:kern w:val="0"/>
                <w:sz w:val="18"/>
                <w:szCs w:val="18"/>
              </w:rPr>
              <w:t>符合监管要求的债权类资产、资产</w:t>
            </w:r>
            <w:r w:rsidRPr="00AB67C0">
              <w:rPr>
                <w:rFonts w:ascii="宋体" w:hAnsi="宋体" w:cs="宋体" w:hint="eastAsia"/>
                <w:color w:val="000000"/>
                <w:kern w:val="0"/>
                <w:sz w:val="18"/>
                <w:szCs w:val="18"/>
              </w:rPr>
              <w:lastRenderedPageBreak/>
              <w:t>管理产品</w:t>
            </w:r>
          </w:p>
        </w:tc>
        <w:tc>
          <w:tcPr>
            <w:tcW w:w="2740" w:type="dxa"/>
            <w:vMerge/>
            <w:tcBorders>
              <w:top w:val="nil"/>
              <w:left w:val="single" w:sz="4" w:space="0" w:color="auto"/>
              <w:bottom w:val="single" w:sz="4" w:space="0" w:color="auto"/>
              <w:right w:val="single" w:sz="4" w:space="0" w:color="auto"/>
            </w:tcBorders>
            <w:vAlign w:val="center"/>
            <w:hideMark/>
          </w:tcPr>
          <w:p w:rsidR="00C03E6A" w:rsidRPr="00AB67C0" w:rsidRDefault="00C03E6A" w:rsidP="001D0CAB">
            <w:pPr>
              <w:widowControl/>
              <w:jc w:val="left"/>
              <w:rPr>
                <w:rFonts w:ascii="宋体" w:hAnsi="宋体" w:cs="宋体"/>
                <w:color w:val="000000"/>
                <w:kern w:val="0"/>
                <w:sz w:val="18"/>
                <w:szCs w:val="18"/>
              </w:rPr>
            </w:pPr>
          </w:p>
        </w:tc>
      </w:tr>
    </w:tbl>
    <w:p w:rsidR="00C03E6A" w:rsidRPr="00AB67C0" w:rsidRDefault="00C03E6A" w:rsidP="00C03E6A">
      <w:pPr>
        <w:pStyle w:val="Default"/>
        <w:adjustRightInd/>
        <w:spacing w:line="360" w:lineRule="auto"/>
        <w:ind w:firstLineChars="200" w:firstLine="420"/>
        <w:rPr>
          <w:rFonts w:ascii="宋体" w:hAnsi="宋体" w:cs="Times New Roman"/>
          <w:sz w:val="21"/>
          <w:szCs w:val="21"/>
        </w:rPr>
      </w:pPr>
      <w:r w:rsidRPr="00AB67C0">
        <w:rPr>
          <w:rFonts w:ascii="宋体" w:hAnsi="宋体" w:cs="宋体" w:hint="eastAsia"/>
          <w:sz w:val="21"/>
          <w:szCs w:val="21"/>
        </w:rPr>
        <w:lastRenderedPageBreak/>
        <w:t>（三）投资策略</w:t>
      </w:r>
    </w:p>
    <w:p w:rsidR="00C03E6A" w:rsidRPr="00AB67C0" w:rsidRDefault="00C03E6A" w:rsidP="00C03E6A">
      <w:pPr>
        <w:pStyle w:val="Default"/>
        <w:spacing w:line="360" w:lineRule="auto"/>
        <w:ind w:firstLineChars="200" w:firstLine="420"/>
        <w:rPr>
          <w:rFonts w:ascii="宋体" w:hAnsi="宋体" w:cs="Times New Roman"/>
          <w:sz w:val="21"/>
          <w:szCs w:val="21"/>
        </w:rPr>
      </w:pPr>
      <w:r w:rsidRPr="00AB67C0">
        <w:rPr>
          <w:rFonts w:ascii="宋体" w:hAnsi="宋体" w:cs="宋体" w:hint="eastAsia"/>
          <w:sz w:val="21"/>
          <w:szCs w:val="21"/>
        </w:rPr>
        <w:t>本理财计划本着稳健投资的理念，基于宏观经济形势、货币政策、固定收益资产价格走势，采用安全性和流动性优先、优选投资品种，采取久期策略和信用策略来获取稳定收益。本产品以固定收益投资为主，主要投资于债券、存款、货币基金等高流动性资产并通过开展债券回购等融入或融出资金，以应对流动性需要和提高资金使用效率。</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产品概述</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444"/>
        <w:gridCol w:w="7332"/>
      </w:tblGrid>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产品名称</w:t>
            </w:r>
          </w:p>
        </w:tc>
        <w:tc>
          <w:tcPr>
            <w:tcW w:w="7332" w:type="dxa"/>
            <w:tcMar>
              <w:top w:w="15" w:type="dxa"/>
              <w:left w:w="15" w:type="dxa"/>
              <w:bottom w:w="0" w:type="dxa"/>
              <w:right w:w="15" w:type="dxa"/>
            </w:tcMar>
            <w:vAlign w:val="center"/>
          </w:tcPr>
          <w:p w:rsidR="00C03E6A" w:rsidRPr="00AB67C0" w:rsidRDefault="00C03E6A" w:rsidP="00684E08">
            <w:pPr>
              <w:rPr>
                <w:rFonts w:ascii="宋体" w:hAnsi="宋体"/>
                <w:color w:val="000000"/>
                <w:kern w:val="0"/>
                <w:sz w:val="18"/>
                <w:szCs w:val="18"/>
              </w:rPr>
            </w:pPr>
            <w:r w:rsidRPr="00AB67C0">
              <w:rPr>
                <w:rFonts w:ascii="宋体" w:hAnsi="宋体" w:cs="宋体" w:hint="eastAsia"/>
                <w:color w:val="000000"/>
                <w:kern w:val="0"/>
                <w:sz w:val="18"/>
                <w:szCs w:val="18"/>
              </w:rPr>
              <w:t>新昌农商银行丰收信福1号2020年</w:t>
            </w:r>
            <w:r w:rsidR="00803B7C">
              <w:rPr>
                <w:rFonts w:ascii="宋体" w:hAnsi="宋体" w:cs="宋体" w:hint="eastAsia"/>
                <w:color w:val="000000"/>
                <w:kern w:val="0"/>
                <w:sz w:val="18"/>
                <w:szCs w:val="18"/>
              </w:rPr>
              <w:t>第</w:t>
            </w:r>
            <w:r w:rsidR="00FE598D">
              <w:rPr>
                <w:rFonts w:ascii="宋体" w:hAnsi="宋体" w:cs="宋体" w:hint="eastAsia"/>
                <w:color w:val="000000"/>
                <w:kern w:val="0"/>
                <w:sz w:val="18"/>
                <w:szCs w:val="18"/>
              </w:rPr>
              <w:t>1</w:t>
            </w:r>
            <w:r w:rsidR="00684E08">
              <w:rPr>
                <w:rFonts w:ascii="宋体" w:hAnsi="宋体" w:cs="宋体" w:hint="eastAsia"/>
                <w:color w:val="000000"/>
                <w:kern w:val="0"/>
                <w:sz w:val="18"/>
                <w:szCs w:val="18"/>
              </w:rPr>
              <w:t>2</w:t>
            </w:r>
            <w:r w:rsidR="00803B7C">
              <w:rPr>
                <w:rFonts w:ascii="宋体" w:hAnsi="宋体" w:cs="宋体" w:hint="eastAsia"/>
                <w:color w:val="000000"/>
                <w:kern w:val="0"/>
                <w:sz w:val="18"/>
                <w:szCs w:val="18"/>
              </w:rPr>
              <w:t>期</w:t>
            </w:r>
            <w:r w:rsidRPr="00AB67C0">
              <w:rPr>
                <w:rFonts w:ascii="宋体" w:hAnsi="宋体" w:cs="宋体" w:hint="eastAsia"/>
                <w:color w:val="000000"/>
                <w:kern w:val="0"/>
                <w:sz w:val="18"/>
                <w:szCs w:val="18"/>
              </w:rPr>
              <w:t>人民币理财产品</w:t>
            </w:r>
          </w:p>
        </w:tc>
      </w:tr>
      <w:tr w:rsidR="00C03E6A" w:rsidRPr="00D56A8B" w:rsidTr="001D0CAB">
        <w:trPr>
          <w:trHeight w:val="227"/>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产品编号</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olor w:val="000000"/>
                <w:kern w:val="0"/>
                <w:sz w:val="18"/>
                <w:szCs w:val="18"/>
              </w:rPr>
              <w:t>SXXC</w:t>
            </w:r>
            <w:r w:rsidRPr="00AB67C0">
              <w:rPr>
                <w:rFonts w:ascii="宋体" w:hAnsi="宋体" w:hint="eastAsia"/>
                <w:color w:val="000000"/>
                <w:kern w:val="0"/>
                <w:sz w:val="18"/>
                <w:szCs w:val="18"/>
              </w:rPr>
              <w:t>FSXF01</w:t>
            </w:r>
            <w:r w:rsidRPr="00AB67C0">
              <w:rPr>
                <w:rFonts w:ascii="宋体" w:hAnsi="宋体"/>
                <w:color w:val="000000"/>
                <w:kern w:val="0"/>
                <w:sz w:val="18"/>
                <w:szCs w:val="18"/>
              </w:rPr>
              <w:t>2020</w:t>
            </w:r>
            <w:r w:rsidR="00684E08">
              <w:rPr>
                <w:rFonts w:ascii="宋体" w:hAnsi="宋体" w:hint="eastAsia"/>
                <w:color w:val="000000"/>
                <w:kern w:val="0"/>
                <w:sz w:val="18"/>
                <w:szCs w:val="18"/>
              </w:rPr>
              <w:t>12</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产品登记编码</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该产品在全国银行业理财信息登记系统的登记编码是</w:t>
            </w:r>
            <w:r w:rsidR="00F86663">
              <w:rPr>
                <w:rFonts w:ascii="宋体" w:hAnsi="宋体" w:cs="宋体"/>
                <w:color w:val="000000"/>
                <w:kern w:val="0"/>
                <w:sz w:val="18"/>
                <w:szCs w:val="18"/>
              </w:rPr>
              <w:t>C11251200000</w:t>
            </w:r>
            <w:r w:rsidR="00F86663">
              <w:rPr>
                <w:rFonts w:ascii="宋体" w:hAnsi="宋体" w:cs="宋体" w:hint="eastAsia"/>
                <w:color w:val="000000"/>
                <w:kern w:val="0"/>
                <w:sz w:val="18"/>
                <w:szCs w:val="18"/>
              </w:rPr>
              <w:t>91</w:t>
            </w:r>
            <w:r w:rsidRPr="00AB67C0">
              <w:rPr>
                <w:rFonts w:ascii="宋体" w:hAnsi="宋体" w:cs="宋体" w:hint="eastAsia"/>
                <w:color w:val="000000"/>
                <w:kern w:val="0"/>
                <w:sz w:val="18"/>
                <w:szCs w:val="18"/>
              </w:rPr>
              <w:t>，客户可依据该编码在“中国理财网（</w:t>
            </w:r>
            <w:r w:rsidRPr="00AB67C0">
              <w:rPr>
                <w:rFonts w:ascii="宋体" w:hAnsi="宋体" w:cs="宋体"/>
                <w:color w:val="000000"/>
                <w:kern w:val="0"/>
                <w:sz w:val="18"/>
                <w:szCs w:val="18"/>
              </w:rPr>
              <w:t>www.chinawealth.com.cn</w:t>
            </w:r>
            <w:r w:rsidRPr="00AB67C0">
              <w:rPr>
                <w:rFonts w:ascii="宋体" w:hAnsi="宋体" w:cs="宋体" w:hint="eastAsia"/>
                <w:color w:val="000000"/>
                <w:kern w:val="0"/>
                <w:sz w:val="18"/>
                <w:szCs w:val="18"/>
              </w:rPr>
              <w:t>）”查询该产品信息。</w:t>
            </w:r>
          </w:p>
        </w:tc>
      </w:tr>
      <w:tr w:rsidR="00C03E6A" w:rsidRPr="00D56A8B" w:rsidTr="001D0CAB">
        <w:trPr>
          <w:trHeight w:val="289"/>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适用客户</w:t>
            </w:r>
          </w:p>
        </w:tc>
        <w:tc>
          <w:tcPr>
            <w:tcW w:w="7332" w:type="dxa"/>
            <w:tcMar>
              <w:top w:w="15" w:type="dxa"/>
              <w:left w:w="15" w:type="dxa"/>
              <w:bottom w:w="0" w:type="dxa"/>
              <w:right w:w="15" w:type="dxa"/>
            </w:tcMar>
            <w:vAlign w:val="center"/>
          </w:tcPr>
          <w:p w:rsidR="00C03E6A" w:rsidRPr="000E726F" w:rsidRDefault="00C03E6A" w:rsidP="001D0CAB">
            <w:pPr>
              <w:widowControl/>
              <w:jc w:val="left"/>
              <w:rPr>
                <w:rFonts w:ascii="宋体" w:hAnsi="宋体" w:cs="宋体"/>
                <w:b/>
                <w:kern w:val="0"/>
                <w:sz w:val="18"/>
                <w:szCs w:val="18"/>
              </w:rPr>
            </w:pPr>
            <w:r w:rsidRPr="00AB67C0">
              <w:rPr>
                <w:rFonts w:ascii="宋体" w:hAnsi="宋体" w:cs="宋体" w:hint="eastAsia"/>
                <w:color w:val="000000"/>
                <w:kern w:val="0"/>
                <w:sz w:val="18"/>
                <w:szCs w:val="18"/>
              </w:rPr>
              <w:t>本理财产品适合机构投资者及</w:t>
            </w:r>
            <w:r w:rsidRPr="000E726F">
              <w:rPr>
                <w:rFonts w:ascii="宋体" w:hAnsi="宋体" w:cs="宋体" w:hint="eastAsia"/>
                <w:color w:val="000000"/>
                <w:kern w:val="0"/>
                <w:sz w:val="18"/>
                <w:szCs w:val="18"/>
              </w:rPr>
              <w:t>谨慎型</w:t>
            </w:r>
            <w:r>
              <w:rPr>
                <w:rFonts w:ascii="宋体" w:hAnsi="宋体" w:cs="宋体" w:hint="eastAsia"/>
                <w:b/>
                <w:kern w:val="0"/>
                <w:sz w:val="18"/>
                <w:szCs w:val="18"/>
              </w:rPr>
              <w:t>、</w:t>
            </w:r>
            <w:r w:rsidRPr="00AB67C0">
              <w:rPr>
                <w:rFonts w:ascii="宋体" w:hAnsi="宋体" w:cs="宋体" w:hint="eastAsia"/>
                <w:color w:val="000000"/>
                <w:kern w:val="0"/>
                <w:sz w:val="18"/>
                <w:szCs w:val="18"/>
              </w:rPr>
              <w:t>稳健型、进取型</w:t>
            </w:r>
            <w:r>
              <w:rPr>
                <w:rFonts w:ascii="宋体" w:hAnsi="宋体" w:cs="宋体" w:hint="eastAsia"/>
                <w:color w:val="000000"/>
                <w:kern w:val="0"/>
                <w:sz w:val="18"/>
                <w:szCs w:val="18"/>
              </w:rPr>
              <w:t>、激进型</w:t>
            </w:r>
            <w:r w:rsidRPr="00AB67C0">
              <w:rPr>
                <w:rFonts w:ascii="宋体" w:hAnsi="宋体" w:cs="宋体" w:hint="eastAsia"/>
                <w:color w:val="000000"/>
                <w:kern w:val="0"/>
                <w:sz w:val="18"/>
                <w:szCs w:val="18"/>
              </w:rPr>
              <w:t>的个人投资者。</w:t>
            </w:r>
          </w:p>
        </w:tc>
      </w:tr>
      <w:tr w:rsidR="00C03E6A" w:rsidRPr="00D56A8B" w:rsidTr="001D0CAB">
        <w:trPr>
          <w:trHeight w:val="210"/>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销售渠道</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个人客户可通过新昌农商银行的营业网点、手机银行等渠道购买。</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机构客户可通过新昌农商银行的营业网点渠道购买。</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交易币种</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人民币</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起点认购金额</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认购起点金额</w:t>
            </w:r>
            <w:r w:rsidRPr="00AB67C0">
              <w:rPr>
                <w:rFonts w:ascii="宋体" w:hAnsi="宋体" w:cs="宋体"/>
                <w:color w:val="000000"/>
                <w:kern w:val="0"/>
                <w:sz w:val="18"/>
                <w:szCs w:val="18"/>
              </w:rPr>
              <w:t>1万元</w:t>
            </w:r>
            <w:r w:rsidRPr="00AB67C0">
              <w:rPr>
                <w:rFonts w:ascii="宋体" w:hAnsi="宋体" w:cs="宋体" w:hint="eastAsia"/>
                <w:color w:val="000000"/>
                <w:kern w:val="0"/>
                <w:sz w:val="18"/>
                <w:szCs w:val="18"/>
              </w:rPr>
              <w:t>整，超过起点部分，应为</w:t>
            </w:r>
            <w:r w:rsidRPr="00AB67C0">
              <w:rPr>
                <w:rFonts w:ascii="宋体" w:hAnsi="宋体" w:cs="宋体"/>
                <w:color w:val="000000"/>
                <w:kern w:val="0"/>
                <w:sz w:val="18"/>
                <w:szCs w:val="18"/>
              </w:rPr>
              <w:t>1000</w:t>
            </w:r>
            <w:r w:rsidRPr="00AB67C0">
              <w:rPr>
                <w:rFonts w:ascii="宋体" w:hAnsi="宋体" w:cs="宋体" w:hint="eastAsia"/>
                <w:color w:val="000000"/>
                <w:kern w:val="0"/>
                <w:sz w:val="18"/>
                <w:szCs w:val="18"/>
              </w:rPr>
              <w:t>元的整数倍。</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产品类型</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公募类封闭式净值型理财产品</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投资性质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固定收益类</w:t>
            </w:r>
          </w:p>
        </w:tc>
      </w:tr>
      <w:tr w:rsidR="00C03E6A" w:rsidRPr="00BF487E" w:rsidTr="001D0CAB">
        <w:trPr>
          <w:cantSplit/>
          <w:trHeight w:val="731"/>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产品规模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规模下限为</w:t>
            </w:r>
            <w:r w:rsidRPr="00AB67C0">
              <w:rPr>
                <w:rFonts w:ascii="宋体" w:hAnsi="宋体" w:cs="宋体"/>
                <w:color w:val="000000"/>
                <w:kern w:val="0"/>
                <w:sz w:val="18"/>
                <w:szCs w:val="18"/>
              </w:rPr>
              <w:t>30</w:t>
            </w:r>
            <w:r w:rsidRPr="00AB67C0">
              <w:rPr>
                <w:rFonts w:ascii="宋体" w:hAnsi="宋体" w:cs="宋体" w:hint="eastAsia"/>
                <w:color w:val="000000"/>
                <w:kern w:val="0"/>
                <w:sz w:val="18"/>
                <w:szCs w:val="18"/>
              </w:rPr>
              <w:t>万元，规模上限为5000万元。若认购金额未达规模下限则产品不成立，发行银行有权根据市场行情暂停接受认购申请。新昌农商银行有权对本理财产品规模上限进行调整。</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产品认购期</w:t>
            </w:r>
          </w:p>
        </w:tc>
        <w:tc>
          <w:tcPr>
            <w:tcW w:w="7332" w:type="dxa"/>
            <w:tcMar>
              <w:top w:w="15" w:type="dxa"/>
              <w:left w:w="15" w:type="dxa"/>
              <w:bottom w:w="0" w:type="dxa"/>
              <w:right w:w="15" w:type="dxa"/>
            </w:tcMar>
            <w:vAlign w:val="center"/>
          </w:tcPr>
          <w:p w:rsidR="00C03E6A" w:rsidRPr="00AB67C0" w:rsidRDefault="00C03E6A" w:rsidP="00684E08">
            <w:pPr>
              <w:rPr>
                <w:rFonts w:ascii="宋体" w:hAnsi="宋体"/>
                <w:color w:val="000000"/>
                <w:kern w:val="0"/>
              </w:rPr>
            </w:pPr>
            <w:r w:rsidRPr="00AB67C0">
              <w:rPr>
                <w:rFonts w:ascii="宋体" w:hAnsi="宋体" w:cs="宋体" w:hint="eastAsia"/>
                <w:color w:val="000000"/>
                <w:kern w:val="0"/>
                <w:sz w:val="18"/>
                <w:szCs w:val="18"/>
              </w:rPr>
              <w:t>2020年</w:t>
            </w:r>
            <w:r w:rsidR="00684E08">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684E08">
              <w:rPr>
                <w:rFonts w:ascii="宋体" w:hAnsi="宋体" w:cs="宋体" w:hint="eastAsia"/>
                <w:color w:val="000000"/>
                <w:kern w:val="0"/>
                <w:sz w:val="18"/>
                <w:szCs w:val="18"/>
              </w:rPr>
              <w:t>6</w:t>
            </w:r>
            <w:r w:rsidRPr="00AB67C0">
              <w:rPr>
                <w:rFonts w:ascii="宋体" w:hAnsi="宋体" w:cs="宋体" w:hint="eastAsia"/>
                <w:color w:val="000000"/>
                <w:kern w:val="0"/>
                <w:sz w:val="18"/>
                <w:szCs w:val="18"/>
              </w:rPr>
              <w:t>日至</w:t>
            </w: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FE598D">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684E08">
              <w:rPr>
                <w:rFonts w:ascii="宋体" w:hAnsi="宋体" w:cs="宋体" w:hint="eastAsia"/>
                <w:color w:val="000000"/>
                <w:kern w:val="0"/>
                <w:sz w:val="18"/>
                <w:szCs w:val="18"/>
              </w:rPr>
              <w:t>12</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产品成立日</w:t>
            </w:r>
          </w:p>
        </w:tc>
        <w:tc>
          <w:tcPr>
            <w:tcW w:w="7332" w:type="dxa"/>
            <w:tcMar>
              <w:top w:w="15" w:type="dxa"/>
              <w:left w:w="15" w:type="dxa"/>
              <w:bottom w:w="0" w:type="dxa"/>
              <w:right w:w="15" w:type="dxa"/>
            </w:tcMar>
            <w:vAlign w:val="center"/>
          </w:tcPr>
          <w:p w:rsidR="00C03E6A" w:rsidRPr="00AB67C0" w:rsidRDefault="00C03E6A" w:rsidP="00684E08">
            <w:pPr>
              <w:rPr>
                <w:rFonts w:ascii="宋体" w:hAnsi="宋体"/>
                <w:color w:val="000000"/>
                <w:kern w:val="0"/>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20年</w:t>
            </w:r>
            <w:r w:rsidR="00FE598D">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684E08">
              <w:rPr>
                <w:rFonts w:ascii="宋体" w:hAnsi="宋体" w:cs="宋体" w:hint="eastAsia"/>
                <w:color w:val="000000"/>
                <w:kern w:val="0"/>
                <w:sz w:val="18"/>
                <w:szCs w:val="18"/>
              </w:rPr>
              <w:t>13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产品到期日</w:t>
            </w:r>
          </w:p>
        </w:tc>
        <w:tc>
          <w:tcPr>
            <w:tcW w:w="7332" w:type="dxa"/>
            <w:tcMar>
              <w:top w:w="15" w:type="dxa"/>
              <w:left w:w="15" w:type="dxa"/>
              <w:bottom w:w="0" w:type="dxa"/>
              <w:right w:w="15" w:type="dxa"/>
            </w:tcMar>
            <w:vAlign w:val="center"/>
          </w:tcPr>
          <w:p w:rsidR="00C03E6A" w:rsidRPr="00AB67C0" w:rsidRDefault="00C03E6A" w:rsidP="00684E08">
            <w:pPr>
              <w:rPr>
                <w:rFonts w:ascii="宋体" w:hAnsi="宋体" w:cs="宋体"/>
                <w:color w:val="000000"/>
                <w:kern w:val="0"/>
                <w:sz w:val="18"/>
                <w:szCs w:val="18"/>
              </w:rPr>
            </w:pPr>
            <w:r w:rsidRPr="00AB67C0">
              <w:rPr>
                <w:rFonts w:ascii="宋体" w:hAnsi="宋体" w:cs="宋体"/>
                <w:color w:val="000000"/>
                <w:kern w:val="0"/>
                <w:sz w:val="18"/>
                <w:szCs w:val="18"/>
              </w:rPr>
              <w:t>20</w:t>
            </w:r>
            <w:r w:rsidRPr="00AB67C0">
              <w:rPr>
                <w:rFonts w:ascii="宋体" w:hAnsi="宋体" w:cs="宋体" w:hint="eastAsia"/>
                <w:color w:val="000000"/>
                <w:kern w:val="0"/>
                <w:sz w:val="18"/>
                <w:szCs w:val="18"/>
              </w:rPr>
              <w:t>21年</w:t>
            </w:r>
            <w:r w:rsidR="00684E08">
              <w:rPr>
                <w:rFonts w:ascii="宋体" w:hAnsi="宋体" w:cs="宋体" w:hint="eastAsia"/>
                <w:color w:val="000000"/>
                <w:kern w:val="0"/>
                <w:sz w:val="18"/>
                <w:szCs w:val="18"/>
              </w:rPr>
              <w:t>8</w:t>
            </w:r>
            <w:r w:rsidRPr="00AB67C0">
              <w:rPr>
                <w:rFonts w:ascii="宋体" w:hAnsi="宋体" w:cs="宋体" w:hint="eastAsia"/>
                <w:color w:val="000000"/>
                <w:kern w:val="0"/>
                <w:sz w:val="18"/>
                <w:szCs w:val="18"/>
              </w:rPr>
              <w:t>月</w:t>
            </w:r>
            <w:r w:rsidR="00684E08">
              <w:rPr>
                <w:rFonts w:ascii="宋体" w:hAnsi="宋体" w:cs="宋体" w:hint="eastAsia"/>
                <w:color w:val="000000"/>
                <w:kern w:val="0"/>
                <w:sz w:val="18"/>
                <w:szCs w:val="18"/>
              </w:rPr>
              <w:t>13</w:t>
            </w:r>
            <w:r w:rsidRPr="00AB67C0">
              <w:rPr>
                <w:rFonts w:ascii="宋体" w:hAnsi="宋体" w:cs="宋体" w:hint="eastAsia"/>
                <w:color w:val="000000"/>
                <w:kern w:val="0"/>
                <w:sz w:val="18"/>
                <w:szCs w:val="18"/>
              </w:rPr>
              <w:t>日。</w:t>
            </w:r>
          </w:p>
        </w:tc>
      </w:tr>
      <w:tr w:rsidR="00C03E6A" w:rsidRPr="00BF487E" w:rsidTr="001D0CAB">
        <w:trPr>
          <w:cantSplit/>
          <w:trHeight w:val="324"/>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理财期限</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365天</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资金到账</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bCs/>
                <w:color w:val="000000"/>
                <w:kern w:val="0"/>
                <w:sz w:val="18"/>
                <w:szCs w:val="18"/>
              </w:rPr>
              <w:t>正常兑付情况下投资收益及理财本金将于理财产品到期日后的2个工作日内到帐。理财产品到期日至投资者资金到账日之间不计利息。</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单位净值</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s="宋体"/>
                <w:color w:val="FF0000"/>
                <w:kern w:val="0"/>
                <w:sz w:val="18"/>
                <w:szCs w:val="18"/>
              </w:rPr>
            </w:pPr>
            <w:r w:rsidRPr="00AB67C0">
              <w:rPr>
                <w:rFonts w:ascii="宋体" w:hAnsi="宋体" w:cs="宋体" w:hint="eastAsia"/>
                <w:color w:val="000000"/>
                <w:kern w:val="0"/>
                <w:sz w:val="18"/>
                <w:szCs w:val="18"/>
              </w:rPr>
              <w:t>单位净值为提取相关税费后，单位理财计划份额的净值。</w:t>
            </w:r>
            <w:r w:rsidRPr="00AB67C0">
              <w:rPr>
                <w:rFonts w:ascii="宋体" w:hAnsi="宋体" w:cs="宋体" w:hint="eastAsia"/>
                <w:kern w:val="0"/>
                <w:sz w:val="18"/>
                <w:szCs w:val="18"/>
              </w:rPr>
              <w:t>理财计划单位净值保留至小数点后第</w:t>
            </w:r>
            <w:r w:rsidR="00C85400">
              <w:rPr>
                <w:rFonts w:ascii="宋体" w:hAnsi="宋体" w:cs="宋体" w:hint="eastAsia"/>
                <w:kern w:val="0"/>
                <w:sz w:val="18"/>
                <w:szCs w:val="18"/>
              </w:rPr>
              <w:t>8</w:t>
            </w:r>
            <w:r w:rsidRPr="00AB67C0">
              <w:rPr>
                <w:rFonts w:ascii="宋体" w:hAnsi="宋体" w:cs="宋体" w:hint="eastAsia"/>
                <w:kern w:val="0"/>
                <w:sz w:val="18"/>
                <w:szCs w:val="18"/>
              </w:rPr>
              <w:t>位，小数点</w:t>
            </w:r>
            <w:r w:rsidR="00C85400">
              <w:rPr>
                <w:rFonts w:ascii="宋体" w:hAnsi="宋体" w:cs="宋体" w:hint="eastAsia"/>
                <w:kern w:val="0"/>
                <w:sz w:val="18"/>
                <w:szCs w:val="18"/>
              </w:rPr>
              <w:t>8</w:t>
            </w:r>
            <w:r w:rsidRPr="00AB67C0">
              <w:rPr>
                <w:rFonts w:ascii="宋体" w:hAnsi="宋体" w:cs="宋体" w:hint="eastAsia"/>
                <w:kern w:val="0"/>
                <w:sz w:val="18"/>
                <w:szCs w:val="18"/>
              </w:rPr>
              <w:t>位以后去尾。</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业绩比较基准</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olor w:val="000000"/>
                <w:kern w:val="0"/>
                <w:sz w:val="18"/>
                <w:szCs w:val="18"/>
              </w:rPr>
            </w:pPr>
            <w:r w:rsidRPr="00AB67C0">
              <w:rPr>
                <w:rFonts w:ascii="宋体" w:hAnsi="宋体" w:cs="宋体" w:hint="eastAsia"/>
                <w:color w:val="000000"/>
                <w:kern w:val="0"/>
                <w:sz w:val="18"/>
                <w:szCs w:val="18"/>
              </w:rPr>
              <w:t>本理财产品业绩比较基准为年化</w:t>
            </w:r>
            <w:r w:rsidR="00E6239E">
              <w:rPr>
                <w:rFonts w:ascii="宋体" w:hAnsi="宋体" w:cs="宋体" w:hint="eastAsia"/>
                <w:color w:val="000000"/>
                <w:kern w:val="0"/>
                <w:sz w:val="18"/>
                <w:szCs w:val="18"/>
              </w:rPr>
              <w:t>3.5%-</w:t>
            </w:r>
            <w:r w:rsidRPr="00AB67C0">
              <w:rPr>
                <w:rFonts w:ascii="宋体" w:hAnsi="宋体" w:cs="宋体" w:hint="eastAsia"/>
                <w:color w:val="000000"/>
                <w:kern w:val="0"/>
                <w:sz w:val="18"/>
                <w:szCs w:val="18"/>
              </w:rPr>
              <w:t>3.7740</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。管理人有权于确认日前</w:t>
            </w: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个工作日调整业绩比较基准，并在新昌农商银行官网公告。</w:t>
            </w:r>
          </w:p>
          <w:p w:rsidR="00C03E6A" w:rsidRPr="00AB67C0" w:rsidRDefault="00C03E6A" w:rsidP="001D0CAB">
            <w:pPr>
              <w:widowControl/>
              <w:rPr>
                <w:rFonts w:ascii="宋体" w:hAnsi="宋体"/>
                <w:color w:val="000000"/>
              </w:rPr>
            </w:pPr>
            <w:r w:rsidRPr="00AB67C0">
              <w:rPr>
                <w:rFonts w:ascii="宋体" w:hAnsi="宋体" w:cs="宋体" w:hint="eastAsia"/>
                <w:color w:val="000000"/>
                <w:kern w:val="0"/>
                <w:sz w:val="18"/>
                <w:szCs w:val="18"/>
              </w:rPr>
              <w:t>本产品为净值型理财产品，没有预期收益率。本行提醒投资者关注，业绩比较基准并不代表实际收益率。</w:t>
            </w:r>
          </w:p>
        </w:tc>
      </w:tr>
      <w:tr w:rsidR="00C03E6A" w:rsidRPr="00BF487E"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本金和理财收益</w:t>
            </w:r>
          </w:p>
        </w:tc>
        <w:tc>
          <w:tcPr>
            <w:tcW w:w="7332" w:type="dxa"/>
            <w:tcMar>
              <w:top w:w="15" w:type="dxa"/>
              <w:left w:w="15" w:type="dxa"/>
              <w:bottom w:w="0" w:type="dxa"/>
              <w:right w:w="15" w:type="dxa"/>
            </w:tcMar>
            <w:vAlign w:val="center"/>
          </w:tcPr>
          <w:p w:rsidR="00C03E6A" w:rsidRPr="00AB67C0" w:rsidRDefault="00C03E6A" w:rsidP="001D0CAB">
            <w:pPr>
              <w:widowControl/>
              <w:rPr>
                <w:rFonts w:ascii="宋体" w:hAnsi="宋体" w:cs="宋体"/>
                <w:color w:val="000000"/>
                <w:kern w:val="0"/>
                <w:sz w:val="18"/>
                <w:szCs w:val="18"/>
              </w:rPr>
            </w:pPr>
            <w:r w:rsidRPr="00AB67C0">
              <w:rPr>
                <w:rFonts w:ascii="宋体" w:hAnsi="宋体" w:cs="宋体" w:hint="eastAsia"/>
                <w:color w:val="000000"/>
                <w:kern w:val="0"/>
                <w:sz w:val="18"/>
                <w:szCs w:val="18"/>
              </w:rPr>
              <w:t>本理财产品不保障本金和收益。</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投资者理财收益＝理财产品投资份额×产品期末单位净值</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客户投资本金。</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相关费用</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本产品不收取认购费。</w:t>
            </w:r>
          </w:p>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本产品托管人按照产品存续规模收取年化</w:t>
            </w:r>
            <w:r w:rsidRPr="00AB67C0">
              <w:rPr>
                <w:rFonts w:ascii="宋体" w:hAnsi="宋体" w:cs="宋体"/>
                <w:color w:val="000000"/>
                <w:kern w:val="0"/>
                <w:sz w:val="18"/>
                <w:szCs w:val="18"/>
              </w:rPr>
              <w:t>0.015%</w:t>
            </w:r>
            <w:r w:rsidRPr="00AB67C0">
              <w:rPr>
                <w:rFonts w:ascii="宋体" w:hAnsi="宋体" w:cs="宋体" w:hint="eastAsia"/>
                <w:color w:val="000000"/>
                <w:kern w:val="0"/>
                <w:sz w:val="18"/>
                <w:szCs w:val="18"/>
              </w:rPr>
              <w:t>的托管费。每日计提，于产品到期支付。</w:t>
            </w:r>
          </w:p>
          <w:p w:rsidR="00C03E6A" w:rsidRPr="00AB67C0" w:rsidRDefault="00C03E6A" w:rsidP="001D0CAB">
            <w:pPr>
              <w:rPr>
                <w:rFonts w:ascii="宋体" w:hAnsi="宋体" w:cs="宋体"/>
                <w:color w:val="000000"/>
                <w:kern w:val="0"/>
                <w:sz w:val="18"/>
                <w:szCs w:val="18"/>
              </w:rPr>
            </w:pPr>
            <w:r w:rsidRPr="00AB67C0">
              <w:rPr>
                <w:rFonts w:ascii="宋体" w:hAnsi="宋体" w:cs="宋体" w:hint="eastAsia"/>
                <w:color w:val="000000"/>
                <w:kern w:val="0"/>
                <w:sz w:val="18"/>
                <w:szCs w:val="18"/>
              </w:rPr>
              <w:t>本产品管理人按照产品存续规模收取年化</w:t>
            </w:r>
            <w:r w:rsidR="00DC3E03">
              <w:rPr>
                <w:rFonts w:ascii="宋体" w:hAnsi="宋体" w:cs="宋体" w:hint="eastAsia"/>
                <w:color w:val="000000"/>
                <w:kern w:val="0"/>
                <w:sz w:val="18"/>
                <w:szCs w:val="18"/>
              </w:rPr>
              <w:t>0.1</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的固定管理费。每日计提，于产品到期支付。</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理财管理人根据理财计划投资情况计算浮动管理费，本理财产品投资周期年化收益率超过业绩比较基准的部分</w:t>
            </w:r>
            <w:r w:rsidRPr="00AB67C0">
              <w:rPr>
                <w:rFonts w:ascii="宋体" w:hAnsi="宋体" w:cs="宋体"/>
                <w:color w:val="000000"/>
                <w:kern w:val="0"/>
                <w:sz w:val="18"/>
                <w:szCs w:val="18"/>
              </w:rPr>
              <w:t>,</w:t>
            </w:r>
            <w:r w:rsidRPr="00AB67C0">
              <w:rPr>
                <w:rFonts w:ascii="宋体" w:hAnsi="宋体" w:cs="宋体" w:hint="eastAsia"/>
                <w:color w:val="000000"/>
                <w:kern w:val="0"/>
                <w:sz w:val="18"/>
                <w:szCs w:val="18"/>
              </w:rPr>
              <w:t>管理人提取80</w:t>
            </w:r>
            <w:r w:rsidRPr="00AB67C0">
              <w:rPr>
                <w:rFonts w:ascii="宋体" w:hAnsi="宋体" w:cs="宋体"/>
                <w:color w:val="000000"/>
                <w:kern w:val="0"/>
                <w:sz w:val="18"/>
                <w:szCs w:val="18"/>
              </w:rPr>
              <w:t>%作为浮动管理费。</w:t>
            </w:r>
          </w:p>
        </w:tc>
      </w:tr>
      <w:tr w:rsidR="00C03E6A" w:rsidRPr="00D56A8B" w:rsidTr="001D0CAB">
        <w:trPr>
          <w:cantSplit/>
          <w:trHeight w:val="233"/>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lastRenderedPageBreak/>
              <w:t>提前终止权</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理财计划存续期内，客户无提前终止权；新昌农商银行有权宣布终止本理财计划。</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融资服务</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本理财产品不能办理质押和转让业务。</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税费规定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hint="eastAsia"/>
                <w:color w:val="000000"/>
                <w:kern w:val="0"/>
                <w:sz w:val="18"/>
                <w:szCs w:val="18"/>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w:t>
            </w:r>
          </w:p>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支付给客户的理财收益的应纳税款由客户自行申报及缴纳。</w:t>
            </w:r>
          </w:p>
        </w:tc>
      </w:tr>
      <w:tr w:rsidR="00C03E6A" w:rsidRPr="00D56A8B" w:rsidTr="001D0CAB">
        <w:trPr>
          <w:trHeight w:val="315"/>
          <w:jc w:val="center"/>
        </w:trPr>
        <w:tc>
          <w:tcPr>
            <w:tcW w:w="2444" w:type="dxa"/>
            <w:tcMar>
              <w:top w:w="15" w:type="dxa"/>
              <w:left w:w="15" w:type="dxa"/>
              <w:bottom w:w="0" w:type="dxa"/>
              <w:right w:w="15" w:type="dxa"/>
            </w:tcMar>
            <w:vAlign w:val="center"/>
          </w:tcPr>
          <w:p w:rsidR="00C03E6A" w:rsidRPr="00AB67C0" w:rsidRDefault="00C03E6A" w:rsidP="001D0CAB">
            <w:pPr>
              <w:rPr>
                <w:rFonts w:ascii="宋体" w:hAnsi="宋体"/>
                <w:color w:val="000000"/>
                <w:kern w:val="0"/>
              </w:rPr>
            </w:pPr>
            <w:r w:rsidRPr="00AB67C0">
              <w:rPr>
                <w:rFonts w:ascii="宋体" w:hAnsi="宋体" w:cs="宋体" w:hint="eastAsia"/>
                <w:color w:val="000000"/>
                <w:kern w:val="0"/>
                <w:sz w:val="18"/>
                <w:szCs w:val="18"/>
              </w:rPr>
              <w:t>其他规定</w:t>
            </w:r>
          </w:p>
        </w:tc>
        <w:tc>
          <w:tcPr>
            <w:tcW w:w="7332" w:type="dxa"/>
            <w:tcMar>
              <w:top w:w="15" w:type="dxa"/>
              <w:left w:w="15" w:type="dxa"/>
              <w:bottom w:w="0" w:type="dxa"/>
              <w:right w:w="15" w:type="dxa"/>
            </w:tcMar>
            <w:vAlign w:val="center"/>
          </w:tcPr>
          <w:p w:rsidR="00C03E6A" w:rsidRPr="00AB67C0" w:rsidRDefault="00C03E6A" w:rsidP="001D0CAB">
            <w:pPr>
              <w:rPr>
                <w:rFonts w:ascii="宋体" w:hAnsi="宋体"/>
                <w:color w:val="000000"/>
                <w:kern w:val="0"/>
                <w:sz w:val="18"/>
                <w:szCs w:val="18"/>
              </w:rPr>
            </w:pPr>
            <w:r w:rsidRPr="00AB67C0">
              <w:rPr>
                <w:rFonts w:ascii="宋体" w:hAnsi="宋体" w:cs="宋体"/>
                <w:color w:val="000000"/>
                <w:kern w:val="0"/>
                <w:sz w:val="18"/>
                <w:szCs w:val="18"/>
              </w:rPr>
              <w:t>1.</w:t>
            </w:r>
            <w:r w:rsidRPr="00AB67C0">
              <w:rPr>
                <w:rFonts w:ascii="宋体" w:hAnsi="宋体" w:cs="宋体" w:hint="eastAsia"/>
                <w:color w:val="000000"/>
                <w:kern w:val="0"/>
                <w:sz w:val="18"/>
                <w:szCs w:val="18"/>
              </w:rPr>
              <w:t>认购期内，客户认购资金按当时实行的活期利率计息，募集期内的利息所得不计入认购金额。</w:t>
            </w:r>
          </w:p>
          <w:p w:rsidR="00C03E6A" w:rsidRPr="00AB67C0" w:rsidRDefault="00C03E6A" w:rsidP="001D0CAB">
            <w:pPr>
              <w:autoSpaceDE w:val="0"/>
              <w:autoSpaceDN w:val="0"/>
              <w:adjustRightInd w:val="0"/>
              <w:rPr>
                <w:rFonts w:ascii="宋体" w:hAnsi="宋体"/>
                <w:color w:val="000000"/>
                <w:kern w:val="0"/>
                <w:sz w:val="18"/>
                <w:szCs w:val="18"/>
              </w:rPr>
            </w:pPr>
            <w:r w:rsidRPr="00AB67C0">
              <w:rPr>
                <w:rFonts w:ascii="宋体" w:hAnsi="宋体" w:cs="宋体"/>
                <w:color w:val="000000"/>
                <w:kern w:val="0"/>
                <w:sz w:val="18"/>
                <w:szCs w:val="18"/>
              </w:rPr>
              <w:t>2.</w:t>
            </w:r>
            <w:r w:rsidRPr="00AB67C0">
              <w:rPr>
                <w:rFonts w:ascii="宋体" w:hAnsi="宋体" w:cs="宋体" w:hint="eastAsia"/>
                <w:color w:val="000000"/>
                <w:kern w:val="0"/>
                <w:sz w:val="18"/>
                <w:szCs w:val="18"/>
              </w:rPr>
              <w:t>认购申请成功受理后，资金立即自动冻结，客户不得要求支取和使用。但认购资金的冻结不代表该认购成功，客户实际认购成功的金额以产品成立日的发行银行最终确认并实际扣款的资金为准。同时，发行银行将在产品成立日的次一工作日内将客户未认购成功的资金（如有）解除冻结。</w:t>
            </w:r>
          </w:p>
          <w:p w:rsidR="00C03E6A" w:rsidRPr="00AB67C0" w:rsidRDefault="00C03E6A" w:rsidP="001D0CAB">
            <w:pPr>
              <w:autoSpaceDE w:val="0"/>
              <w:autoSpaceDN w:val="0"/>
              <w:adjustRightInd w:val="0"/>
              <w:rPr>
                <w:rFonts w:ascii="宋体" w:hAnsi="宋体" w:cs="宋体"/>
                <w:color w:val="000000"/>
                <w:kern w:val="0"/>
                <w:sz w:val="18"/>
                <w:szCs w:val="18"/>
              </w:rPr>
            </w:pPr>
            <w:r w:rsidRPr="00AB67C0">
              <w:rPr>
                <w:rFonts w:ascii="宋体" w:hAnsi="宋体" w:cs="宋体"/>
                <w:color w:val="000000"/>
                <w:kern w:val="0"/>
                <w:sz w:val="18"/>
                <w:szCs w:val="18"/>
              </w:rPr>
              <w:t>3.</w:t>
            </w:r>
            <w:r w:rsidRPr="00AB67C0">
              <w:rPr>
                <w:rFonts w:ascii="宋体" w:hAnsi="宋体" w:cs="宋体" w:hint="eastAsia"/>
                <w:color w:val="000000"/>
                <w:kern w:val="0"/>
                <w:sz w:val="18"/>
                <w:szCs w:val="18"/>
              </w:rPr>
              <w:t>新昌农商银行有权根据市场情况和本产品运作情况，对本理财计划的收费项目、条件、标准和方式进行调整。</w:t>
            </w:r>
          </w:p>
          <w:p w:rsidR="00C03E6A" w:rsidRPr="00AB67C0" w:rsidRDefault="00C03E6A" w:rsidP="001D0CAB">
            <w:pPr>
              <w:autoSpaceDE w:val="0"/>
              <w:autoSpaceDN w:val="0"/>
              <w:adjustRightInd w:val="0"/>
              <w:rPr>
                <w:rFonts w:ascii="宋体" w:hAnsi="宋体"/>
                <w:color w:val="000000"/>
                <w:kern w:val="0"/>
              </w:rPr>
            </w:pPr>
            <w:r w:rsidRPr="00AB67C0">
              <w:rPr>
                <w:rFonts w:ascii="宋体" w:hAnsi="宋体" w:cs="宋体" w:hint="eastAsia"/>
                <w:color w:val="000000"/>
                <w:kern w:val="0"/>
                <w:sz w:val="18"/>
                <w:szCs w:val="18"/>
              </w:rPr>
              <w:t>4.本理财产品可能会投资于资产管理产品，在赎回资产管理产品时，资产管理产品可能会计提业绩报酬，上述费用的计提时将会扣减资产管理产品的资产净值，从而造成赎回集合计划时可获得收益下降。</w:t>
            </w:r>
          </w:p>
        </w:tc>
      </w:tr>
    </w:tbl>
    <w:p w:rsidR="00C03E6A" w:rsidRPr="00AB67C0" w:rsidRDefault="00C03E6A" w:rsidP="00C03E6A">
      <w:pPr>
        <w:spacing w:line="360" w:lineRule="auto"/>
        <w:rPr>
          <w:rFonts w:ascii="宋体" w:hAnsi="宋体"/>
          <w:b/>
          <w:bCs/>
        </w:rPr>
      </w:pPr>
      <w:r w:rsidRPr="00AB67C0">
        <w:rPr>
          <w:rFonts w:ascii="宋体" w:hAnsi="宋体" w:cs="宋体" w:hint="eastAsia"/>
          <w:b/>
          <w:bCs/>
        </w:rPr>
        <w:t>特别说明：本理财产品属于净值型理财产品，无预期收益率，投资须谨慎。新昌农商银行对理财本金及收益不提供保证承诺，请客户基于自身的独立判断进行投资决策。</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理财产品估值</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（一）估值日 </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本产品估值日为每周最后一个工作日，于下一周最新一个工作日公告。</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（二）估值对象</w:t>
      </w:r>
    </w:p>
    <w:p w:rsidR="00C03E6A" w:rsidRPr="00AB67C0" w:rsidRDefault="00C03E6A" w:rsidP="00C03E6A">
      <w:pPr>
        <w:spacing w:line="360" w:lineRule="auto"/>
        <w:rPr>
          <w:rFonts w:ascii="宋体" w:hAnsi="宋体"/>
          <w:color w:val="000000"/>
          <w:kern w:val="0"/>
        </w:rPr>
      </w:pPr>
      <w:r w:rsidRPr="00AB67C0">
        <w:rPr>
          <w:rFonts w:ascii="宋体" w:hAnsi="宋体" w:cs="宋体" w:hint="eastAsia"/>
          <w:color w:val="000000"/>
          <w:kern w:val="0"/>
        </w:rPr>
        <w:t xml:space="preserve">    本理财产品所拥有的所有金融资产及金融负债。</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（三）估值目的 </w:t>
      </w:r>
    </w:p>
    <w:p w:rsidR="00C03E6A" w:rsidRPr="00AB67C0" w:rsidRDefault="00C03E6A" w:rsidP="00C03E6A">
      <w:pPr>
        <w:spacing w:line="360" w:lineRule="auto"/>
        <w:ind w:firstLineChars="200" w:firstLine="420"/>
        <w:rPr>
          <w:rFonts w:ascii="宋体" w:hAnsi="宋体" w:cs="宋体"/>
          <w:color w:val="000000"/>
          <w:kern w:val="0"/>
        </w:rPr>
      </w:pPr>
      <w:r w:rsidRPr="00AB67C0">
        <w:rPr>
          <w:rFonts w:ascii="宋体" w:hAnsi="宋体" w:cs="宋体" w:hint="eastAsia"/>
          <w:color w:val="000000"/>
          <w:kern w:val="0"/>
        </w:rPr>
        <w:t xml:space="preserve">客观、准确反映理财产品的价值。 </w:t>
      </w:r>
    </w:p>
    <w:p w:rsidR="00C03E6A" w:rsidRPr="00AB67C0" w:rsidRDefault="00C03E6A" w:rsidP="00C03E6A">
      <w:pPr>
        <w:pStyle w:val="a5"/>
        <w:numPr>
          <w:ilvl w:val="0"/>
          <w:numId w:val="4"/>
        </w:numPr>
        <w:spacing w:line="360" w:lineRule="auto"/>
        <w:ind w:firstLineChars="0"/>
        <w:rPr>
          <w:rFonts w:ascii="宋体" w:hAnsi="宋体" w:cs="Times New Roman"/>
          <w:color w:val="000000"/>
          <w:kern w:val="0"/>
        </w:rPr>
      </w:pPr>
      <w:r w:rsidRPr="00AB67C0">
        <w:rPr>
          <w:rFonts w:ascii="宋体" w:hAnsi="宋体" w:cs="宋体" w:hint="eastAsia"/>
          <w:color w:val="000000"/>
          <w:kern w:val="0"/>
        </w:rPr>
        <w:t>估值方式</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1.根据监管规定，可以使用摊余成本法估值的债券类资产使用摊余成本法估值；根据监管规定，应使用市值法估值的债券类资产，按照市值法估值；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2.存放同业、回购、拆借等同业资产按照账面成本加上最近一次付息日至估值日止的应计利息估值；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3.银行存款以本金列示，逐日计提利息；</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4.货币基金以按基金管理公司公布的估值日前一交易日的每万份收益计提红利；</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Times New Roman" w:hint="eastAsia"/>
          <w:color w:val="000000"/>
          <w:kern w:val="0"/>
        </w:rPr>
        <w:t>5.</w:t>
      </w:r>
      <w:r w:rsidRPr="00AB67C0">
        <w:rPr>
          <w:rFonts w:ascii="宋体" w:hAnsi="宋体" w:cs="Times New Roman"/>
          <w:color w:val="000000"/>
          <w:kern w:val="0"/>
        </w:rPr>
        <w:t>资产管理产品</w:t>
      </w:r>
      <w:r w:rsidRPr="00AB67C0">
        <w:rPr>
          <w:rFonts w:ascii="宋体" w:hAnsi="宋体" w:cs="Times New Roman" w:hint="eastAsia"/>
          <w:color w:val="000000"/>
          <w:kern w:val="0"/>
        </w:rPr>
        <w:t>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份额</w:t>
      </w:r>
      <w:r w:rsidRPr="00AB67C0">
        <w:rPr>
          <w:rFonts w:ascii="宋体" w:hAnsi="宋体" w:cs="Times New Roman"/>
          <w:color w:val="000000"/>
          <w:kern w:val="0"/>
        </w:rPr>
        <w:t>净值的，按最近一日的份额净值</w:t>
      </w:r>
      <w:r w:rsidRPr="00AB67C0">
        <w:rPr>
          <w:rFonts w:ascii="宋体" w:hAnsi="宋体" w:cs="Times New Roman" w:hint="eastAsia"/>
          <w:color w:val="000000"/>
          <w:kern w:val="0"/>
        </w:rPr>
        <w:t>估值</w:t>
      </w:r>
      <w:r w:rsidRPr="00AB67C0">
        <w:rPr>
          <w:rFonts w:ascii="宋体" w:hAnsi="宋体" w:cs="Times New Roman"/>
          <w:color w:val="000000"/>
          <w:kern w:val="0"/>
        </w:rPr>
        <w:t>。</w:t>
      </w:r>
      <w:r w:rsidRPr="00AB67C0">
        <w:rPr>
          <w:rFonts w:ascii="宋体" w:hAnsi="宋体" w:cs="Times New Roman" w:hint="eastAsia"/>
          <w:color w:val="000000"/>
          <w:kern w:val="0"/>
        </w:rPr>
        <w:t>资产管理产品或其它特殊目的载体</w:t>
      </w:r>
      <w:r w:rsidRPr="00AB67C0">
        <w:rPr>
          <w:rFonts w:ascii="宋体" w:hAnsi="宋体" w:cs="Times New Roman"/>
          <w:color w:val="000000"/>
          <w:kern w:val="0"/>
        </w:rPr>
        <w:t>等披露</w:t>
      </w:r>
      <w:r w:rsidRPr="00AB67C0">
        <w:rPr>
          <w:rFonts w:ascii="宋体" w:hAnsi="宋体" w:cs="Times New Roman" w:hint="eastAsia"/>
          <w:color w:val="000000"/>
          <w:kern w:val="0"/>
        </w:rPr>
        <w:t>收益率的</w:t>
      </w:r>
      <w:r w:rsidRPr="00AB67C0">
        <w:rPr>
          <w:rFonts w:ascii="宋体" w:hAnsi="宋体" w:cs="Times New Roman"/>
          <w:color w:val="000000"/>
          <w:kern w:val="0"/>
        </w:rPr>
        <w:t>，按成本估值，按收益率计提收益。</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lastRenderedPageBreak/>
        <w:t>6.其他资产的估值方法:在监管许可的范围内，可以使用成本法估值的资产，按取得时的成本用成本法进行估值；根据监管规定，应使用市值法估值的资产，按照市值法估值；</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7.国家有最新规定的按其规定进行估值。</w:t>
      </w:r>
    </w:p>
    <w:p w:rsidR="00C03E6A" w:rsidRPr="00AB67C0" w:rsidRDefault="00C03E6A" w:rsidP="00C03E6A">
      <w:pPr>
        <w:spacing w:line="360" w:lineRule="auto"/>
        <w:ind w:firstLineChars="200" w:firstLine="420"/>
        <w:rPr>
          <w:rFonts w:ascii="宋体" w:hAnsi="宋体"/>
          <w:sz w:val="18"/>
          <w:szCs w:val="18"/>
        </w:rPr>
      </w:pPr>
      <w:r w:rsidRPr="00AB67C0">
        <w:rPr>
          <w:rFonts w:ascii="宋体" w:hAnsi="宋体" w:cs="宋体" w:hint="eastAsia"/>
          <w:color w:val="000000"/>
          <w:kern w:val="0"/>
        </w:rPr>
        <w:t>当理财产品管理人或托管人认为按上述方法对理财产品进行估值不能客观反映其公允价值的，可以在协商一致后变更估值方法，并自协商一致日后执行。</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（五）偏离度管理</w:t>
      </w:r>
    </w:p>
    <w:p w:rsidR="00C03E6A" w:rsidRPr="00AB67C0" w:rsidRDefault="00C03E6A" w:rsidP="00C03E6A">
      <w:pPr>
        <w:spacing w:line="360" w:lineRule="auto"/>
        <w:ind w:firstLineChars="200" w:firstLine="420"/>
        <w:rPr>
          <w:rFonts w:ascii="宋体" w:hAnsi="宋体"/>
          <w:color w:val="000000"/>
          <w:kern w:val="0"/>
        </w:rPr>
      </w:pPr>
      <w:r w:rsidRPr="00AB67C0">
        <w:rPr>
          <w:rFonts w:ascii="宋体" w:hAnsi="宋体" w:cs="宋体" w:hint="eastAsia"/>
          <w:color w:val="000000"/>
          <w:kern w:val="0"/>
        </w:rPr>
        <w:t>由于按摊余成本法估值可能会出现估值对象的公允价值和摊余成本价偏离，为消除或减少产品因资产净值背离导致产品持有人权益稀释或其他不公平的结果，在实际操作中，产品管理人可以对产品资产净值按公允价值法定期进行重新评估，即“影子定价”。当影子定价确定的产品净值与摊余成本法计算的产品资产净值的偏离度导致产品持有人权益稀释或者不公平的结果，产品管理人可根据风险控制的需要做相应调整。</w:t>
      </w:r>
    </w:p>
    <w:p w:rsidR="00C03E6A" w:rsidRPr="00AB67C0" w:rsidRDefault="00C03E6A" w:rsidP="00C03E6A">
      <w:pPr>
        <w:pStyle w:val="a6"/>
        <w:numPr>
          <w:ilvl w:val="0"/>
          <w:numId w:val="1"/>
        </w:numPr>
        <w:spacing w:before="0" w:after="0" w:line="360" w:lineRule="auto"/>
        <w:jc w:val="both"/>
        <w:outlineLvl w:val="9"/>
        <w:rPr>
          <w:rFonts w:ascii="宋体" w:hAnsi="宋体" w:cs="Times New Roman"/>
          <w:sz w:val="28"/>
          <w:szCs w:val="28"/>
        </w:rPr>
      </w:pPr>
      <w:r w:rsidRPr="00AB67C0">
        <w:rPr>
          <w:rFonts w:ascii="宋体" w:hAnsi="宋体" w:cs="宋体" w:hint="eastAsia"/>
          <w:sz w:val="28"/>
          <w:szCs w:val="28"/>
        </w:rPr>
        <w:t>理财计划收益和相关费用</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（一）收益计算公式</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投资者理财收益＝理财产品投资份额×产品期末单位净值（提取浮动管理费（如有）后单位净值）</w:t>
      </w:r>
      <w:r w:rsidRPr="00AB67C0">
        <w:rPr>
          <w:rFonts w:ascii="宋体" w:hAnsi="宋体" w:cs="宋体"/>
          <w:kern w:val="0"/>
        </w:rPr>
        <w:t>-</w:t>
      </w:r>
      <w:r w:rsidRPr="00AB67C0">
        <w:rPr>
          <w:rFonts w:ascii="宋体" w:hAnsi="宋体" w:cs="宋体" w:hint="eastAsia"/>
          <w:kern w:val="0"/>
        </w:rPr>
        <w:t>客户投资本金。</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理财产品单位净值为提取相关费用后的净值，客户按该单位净值进行到期、提前终止时的分配。</w:t>
      </w:r>
    </w:p>
    <w:p w:rsidR="00C03E6A" w:rsidRPr="00AB67C0" w:rsidRDefault="00C03E6A" w:rsidP="00C03E6A">
      <w:pPr>
        <w:spacing w:line="360" w:lineRule="auto"/>
        <w:ind w:firstLineChars="200" w:firstLine="420"/>
        <w:rPr>
          <w:rFonts w:ascii="宋体" w:hAnsi="宋体"/>
          <w:kern w:val="0"/>
          <w:sz w:val="24"/>
          <w:szCs w:val="24"/>
        </w:rPr>
      </w:pPr>
      <w:r w:rsidRPr="00AB67C0">
        <w:rPr>
          <w:rFonts w:ascii="宋体" w:hAnsi="宋体" w:cs="宋体" w:hint="eastAsia"/>
          <w:kern w:val="0"/>
        </w:rPr>
        <w:t>（二）本理财计划的各相关费用</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kern w:val="0"/>
        </w:rPr>
        <w:t>1.</w:t>
      </w:r>
      <w:r w:rsidRPr="00AB67C0">
        <w:rPr>
          <w:rFonts w:ascii="宋体" w:hAnsi="宋体" w:cs="宋体" w:hint="eastAsia"/>
          <w:kern w:val="0"/>
        </w:rPr>
        <w:t>理财管理人的固定管理费</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本理财计划按照年化</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的固定费率收取固定管理费。本产品每日计提的固定管理费为：前一日资产净值×</w:t>
      </w:r>
      <w:r w:rsidR="00DC3E03">
        <w:rPr>
          <w:rFonts w:ascii="宋体" w:hAnsi="宋体" w:cs="宋体" w:hint="eastAsia"/>
          <w:kern w:val="0"/>
        </w:rPr>
        <w:t>0.1</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rPr>
          <w:rFonts w:ascii="宋体" w:hAnsi="宋体"/>
          <w:kern w:val="0"/>
        </w:rPr>
      </w:pPr>
      <w:r w:rsidRPr="00AB67C0">
        <w:rPr>
          <w:rFonts w:ascii="宋体" w:hAnsi="宋体" w:cs="宋体" w:hint="eastAsia"/>
          <w:kern w:val="0"/>
        </w:rPr>
        <w:t>固定管理费按日计提，于产品结束后收取。</w:t>
      </w:r>
    </w:p>
    <w:p w:rsidR="00C03E6A" w:rsidRPr="00AB67C0" w:rsidRDefault="00C03E6A" w:rsidP="00C03E6A">
      <w:pPr>
        <w:pStyle w:val="ListParagraph1"/>
        <w:spacing w:line="360" w:lineRule="auto"/>
        <w:ind w:firstLineChars="0"/>
        <w:rPr>
          <w:rFonts w:ascii="宋体" w:hAnsi="宋体" w:cs="Times New Roman"/>
          <w:kern w:val="0"/>
        </w:rPr>
      </w:pPr>
      <w:r w:rsidRPr="00AB67C0">
        <w:rPr>
          <w:rFonts w:ascii="宋体" w:hAnsi="宋体" w:cs="宋体" w:hint="eastAsia"/>
          <w:kern w:val="0"/>
        </w:rPr>
        <w:t>2</w:t>
      </w:r>
      <w:r w:rsidRPr="00AB67C0">
        <w:rPr>
          <w:rFonts w:ascii="宋体" w:hAnsi="宋体" w:cs="宋体"/>
          <w:kern w:val="0"/>
        </w:rPr>
        <w:t>.</w:t>
      </w:r>
      <w:r w:rsidRPr="00AB67C0">
        <w:rPr>
          <w:rFonts w:ascii="宋体" w:hAnsi="宋体" w:cs="宋体" w:hint="eastAsia"/>
          <w:kern w:val="0"/>
        </w:rPr>
        <w:t>理财托管人的托管费</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本理财计划按照年化</w:t>
      </w:r>
      <w:r w:rsidRPr="00AB67C0">
        <w:rPr>
          <w:rFonts w:ascii="宋体" w:hAnsi="宋体" w:cs="宋体"/>
          <w:kern w:val="0"/>
        </w:rPr>
        <w:t>0.015%</w:t>
      </w:r>
      <w:r w:rsidRPr="00AB67C0">
        <w:rPr>
          <w:rFonts w:ascii="宋体" w:hAnsi="宋体" w:cs="宋体" w:hint="eastAsia"/>
          <w:kern w:val="0"/>
        </w:rPr>
        <w:t>的固定费率收取托管费。本产品每日计提的托管费计算方式为：该前一日资产净值×0.015</w:t>
      </w:r>
      <w:r w:rsidRPr="00AB67C0">
        <w:rPr>
          <w:rFonts w:ascii="宋体" w:hAnsi="宋体" w:cs="宋体"/>
          <w:kern w:val="0"/>
        </w:rPr>
        <w:t>%</w:t>
      </w:r>
      <w:r w:rsidRPr="00AB67C0">
        <w:rPr>
          <w:rFonts w:ascii="宋体" w:hAnsi="宋体" w:cs="宋体" w:hint="eastAsia"/>
          <w:kern w:val="0"/>
        </w:rPr>
        <w:t>／</w:t>
      </w:r>
      <w:r w:rsidRPr="00AB67C0">
        <w:rPr>
          <w:rFonts w:ascii="宋体" w:hAnsi="宋体" w:cs="宋体"/>
          <w:kern w:val="0"/>
        </w:rPr>
        <w:t>365</w:t>
      </w:r>
      <w:r w:rsidRPr="00AB67C0">
        <w:rPr>
          <w:rFonts w:ascii="宋体" w:hAnsi="宋体" w:cs="宋体" w:hint="eastAsia"/>
          <w:kern w:val="0"/>
        </w:rPr>
        <w:t>。</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托管费按日计提，于产品结束时收取。</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3.本产品不收取估值外包服务费。</w:t>
      </w:r>
    </w:p>
    <w:p w:rsidR="00C03E6A" w:rsidRPr="00AB67C0" w:rsidRDefault="00C03E6A" w:rsidP="00C03E6A">
      <w:pPr>
        <w:pStyle w:val="ListParagraph1"/>
        <w:widowControl/>
        <w:spacing w:line="360" w:lineRule="auto"/>
        <w:ind w:firstLineChars="0"/>
        <w:contextualSpacing/>
        <w:rPr>
          <w:rFonts w:ascii="宋体" w:hAnsi="宋体" w:cs="宋体"/>
          <w:kern w:val="0"/>
        </w:rPr>
      </w:pPr>
      <w:r w:rsidRPr="00AB67C0">
        <w:rPr>
          <w:rFonts w:ascii="宋体" w:hAnsi="宋体" w:cs="宋体" w:hint="eastAsia"/>
          <w:kern w:val="0"/>
        </w:rPr>
        <w:t>4</w:t>
      </w:r>
      <w:r w:rsidRPr="00AB67C0">
        <w:rPr>
          <w:rFonts w:ascii="宋体" w:hAnsi="宋体" w:cs="宋体"/>
          <w:kern w:val="0"/>
        </w:rPr>
        <w:t>.</w:t>
      </w:r>
      <w:r w:rsidRPr="00AB67C0">
        <w:rPr>
          <w:rFonts w:ascii="宋体" w:hAnsi="宋体" w:cs="宋体" w:hint="eastAsia"/>
          <w:kern w:val="0"/>
        </w:rPr>
        <w:t>浮动管理费</w:t>
      </w:r>
    </w:p>
    <w:p w:rsidR="00C03E6A" w:rsidRPr="00AB67C0" w:rsidRDefault="00C03E6A" w:rsidP="00C03E6A">
      <w:pPr>
        <w:widowControl/>
        <w:spacing w:line="360" w:lineRule="auto"/>
        <w:contextualSpacing/>
        <w:rPr>
          <w:rFonts w:ascii="宋体" w:hAnsi="宋体" w:cs="宋体"/>
          <w:kern w:val="0"/>
        </w:rPr>
      </w:pPr>
      <w:r w:rsidRPr="00AB67C0">
        <w:rPr>
          <w:rFonts w:ascii="宋体" w:hAnsi="宋体" w:hint="eastAsia"/>
        </w:rPr>
        <w:lastRenderedPageBreak/>
        <w:t xml:space="preserve">    理财管理人根据理财计划投资情况计算浮动管理费，</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hint="eastAsia"/>
        </w:rPr>
        <w:t>超过业绩比较基准的部分管理人提取80%作为浮动管理费，</w:t>
      </w:r>
      <w:r w:rsidRPr="00AB67C0">
        <w:rPr>
          <w:rFonts w:ascii="宋体" w:hAnsi="宋体" w:cs="宋体" w:hint="eastAsia"/>
          <w:kern w:val="0"/>
        </w:rPr>
        <w:t>于产品结束时收取</w:t>
      </w:r>
      <w:r w:rsidRPr="00AB67C0">
        <w:rPr>
          <w:rFonts w:ascii="宋体" w:hAnsi="宋体" w:hint="eastAsia"/>
        </w:rPr>
        <w:t>；</w:t>
      </w:r>
      <w:r w:rsidRPr="00AB67C0">
        <w:rPr>
          <w:rFonts w:ascii="宋体" w:hAnsi="宋体" w:cs="宋体" w:hint="eastAsia"/>
          <w:bCs/>
        </w:rPr>
        <w:t>本理财产品到期</w:t>
      </w:r>
      <w:r w:rsidRPr="00AB67C0">
        <w:rPr>
          <w:rFonts w:ascii="宋体" w:hAnsi="宋体" w:cs="宋体" w:hint="eastAsia"/>
        </w:rPr>
        <w:t>年化收益率</w:t>
      </w:r>
      <w:r w:rsidRPr="00AB67C0">
        <w:rPr>
          <w:rFonts w:ascii="宋体" w:hAnsi="宋体" w:cs="宋体" w:hint="eastAsia"/>
          <w:bCs/>
        </w:rPr>
        <w:t>若小于或等于业绩比较基准则不收取浮动管理费。</w:t>
      </w:r>
      <w:r w:rsidRPr="00AB67C0">
        <w:rPr>
          <w:rFonts w:ascii="宋体" w:hAnsi="宋体" w:cs="宋体" w:hint="eastAsia"/>
          <w:kern w:val="0"/>
        </w:rPr>
        <w:t>新昌农商银行保留变更上述收取费率标准的权利，如有变更，将提前</w:t>
      </w:r>
      <w:r w:rsidRPr="00AB67C0">
        <w:rPr>
          <w:rFonts w:ascii="宋体" w:hAnsi="宋体" w:cs="宋体"/>
          <w:kern w:val="0"/>
        </w:rPr>
        <w:t>1</w:t>
      </w:r>
      <w:r w:rsidRPr="00AB67C0">
        <w:rPr>
          <w:rFonts w:ascii="宋体" w:hAnsi="宋体" w:cs="宋体" w:hint="eastAsia"/>
          <w:kern w:val="0"/>
        </w:rPr>
        <w:t>个工作日在新昌农商银行网站或新昌农商银行营业网点公告。</w:t>
      </w:r>
    </w:p>
    <w:p w:rsidR="00C03E6A" w:rsidRPr="00AB67C0" w:rsidRDefault="00C03E6A" w:rsidP="00C03E6A">
      <w:pPr>
        <w:spacing w:line="360" w:lineRule="auto"/>
        <w:ind w:firstLineChars="200" w:firstLine="420"/>
        <w:rPr>
          <w:rFonts w:ascii="宋体" w:hAnsi="宋体"/>
          <w:kern w:val="0"/>
        </w:rPr>
      </w:pPr>
      <w:r w:rsidRPr="00AB67C0">
        <w:rPr>
          <w:rFonts w:ascii="宋体" w:hAnsi="宋体" w:cs="宋体" w:hint="eastAsia"/>
          <w:kern w:val="0"/>
        </w:rPr>
        <w:t>（三）收益示例说明</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示例一：扣除托管费、固定管理费后，投资收益率超越业绩比较基准</w:t>
      </w:r>
    </w:p>
    <w:p w:rsidR="00C03E6A" w:rsidRPr="00AB67C0" w:rsidRDefault="00C03E6A" w:rsidP="00C03E6A">
      <w:pPr>
        <w:spacing w:line="360" w:lineRule="auto"/>
        <w:ind w:firstLineChars="196" w:firstLine="412"/>
        <w:rPr>
          <w:rFonts w:ascii="宋体" w:hAnsi="宋体"/>
          <w:b/>
          <w:bCs/>
          <w:kern w:val="0"/>
        </w:rPr>
      </w:pPr>
      <w:r w:rsidRPr="00AB67C0">
        <w:rPr>
          <w:rFonts w:ascii="宋体" w:hAnsi="宋体" w:hint="eastAsia"/>
        </w:rPr>
        <w:t>以某客户投资10万元为例，假设购买时产品净值为1.00元，折算份额为100,000.00份,投资本理财产品362天后，到期份额100000.00份。假设管理人提取超过业绩基准部分的80%作为浮动管理费，产品业绩比较基准为5.60%。到期时扣除增值税、托管费、固定管理费后，如产品净值为1.0615，此时，(1.0615/1.00-1)×365/362=6.20%&gt;5.60%，即投资收益超越业绩比较基准，则投资管理人对超过业绩比较基准部分收益收取浮动管理费，浮动管理费为：</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100,000.00×1.00×(6.20%-5.60%)×80%×362÷365=476.05（元）</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hint="eastAsia"/>
        </w:rPr>
        <w:t>扣除浮动管理费后，客户最终收益为：</w:t>
      </w:r>
    </w:p>
    <w:p w:rsidR="00C03E6A" w:rsidRPr="00AB67C0" w:rsidRDefault="00C03E6A" w:rsidP="00C03E6A">
      <w:pPr>
        <w:spacing w:line="360" w:lineRule="auto"/>
        <w:ind w:firstLineChars="196" w:firstLine="412"/>
        <w:rPr>
          <w:rFonts w:ascii="宋体" w:hAnsi="宋体"/>
        </w:rPr>
      </w:pPr>
      <w:r w:rsidRPr="00AB67C0">
        <w:rPr>
          <w:rFonts w:ascii="宋体" w:hAnsi="宋体" w:hint="eastAsia"/>
        </w:rPr>
        <w:t>100,000.00×（1.0615-1.00）-476.05=5,673.95（元），产品到期时，客户获得的实际收益相当于达到年化收益率水平为：5,673.95/100,000.00×365/362=5.72%。</w:t>
      </w:r>
    </w:p>
    <w:p w:rsidR="00C03E6A" w:rsidRPr="00AB67C0" w:rsidRDefault="00C03E6A" w:rsidP="00C03E6A">
      <w:pPr>
        <w:spacing w:line="360" w:lineRule="auto"/>
        <w:ind w:firstLineChars="196" w:firstLine="413"/>
        <w:rPr>
          <w:rFonts w:ascii="宋体" w:hAnsi="宋体"/>
          <w:b/>
          <w:bCs/>
          <w:kern w:val="0"/>
        </w:rPr>
      </w:pPr>
      <w:r w:rsidRPr="00AB67C0">
        <w:rPr>
          <w:rFonts w:ascii="宋体" w:hAnsi="宋体" w:cs="宋体" w:hint="eastAsia"/>
          <w:b/>
          <w:bCs/>
          <w:kern w:val="0"/>
        </w:rPr>
        <w:t>示例二：扣除托管费、固定管理费后，投资收益率未达到业绩比较基准</w:t>
      </w:r>
    </w:p>
    <w:p w:rsidR="00C03E6A" w:rsidRPr="00AB67C0" w:rsidRDefault="00C03E6A" w:rsidP="00C03E6A">
      <w:pPr>
        <w:widowControl/>
        <w:spacing w:line="360" w:lineRule="auto"/>
        <w:ind w:firstLineChars="200" w:firstLine="420"/>
        <w:contextualSpacing/>
        <w:rPr>
          <w:rFonts w:ascii="宋体" w:hAnsi="宋体"/>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w:t>
      </w:r>
      <w:r w:rsidRPr="00AB67C0">
        <w:rPr>
          <w:rFonts w:ascii="宋体" w:hAnsi="宋体" w:cs="宋体"/>
          <w:kern w:val="0"/>
        </w:rPr>
        <w:t>,</w:t>
      </w:r>
      <w:r w:rsidRPr="00AB67C0">
        <w:rPr>
          <w:rFonts w:ascii="宋体" w:hAnsi="宋体" w:cs="宋体" w:hint="eastAsia"/>
          <w:kern w:val="0"/>
        </w:rPr>
        <w:t>投资本理财产品</w:t>
      </w:r>
      <w:r w:rsidRPr="00AB67C0">
        <w:rPr>
          <w:rFonts w:ascii="宋体" w:hAnsi="宋体" w:cs="宋体"/>
          <w:kern w:val="0"/>
        </w:rPr>
        <w:t xml:space="preserve"> 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 xml:space="preserve">% </w:t>
      </w:r>
      <w:r w:rsidRPr="00AB67C0">
        <w:rPr>
          <w:rFonts w:ascii="宋体" w:hAnsi="宋体" w:cs="宋体" w:hint="eastAsia"/>
          <w:kern w:val="0"/>
        </w:rPr>
        <w:t>，</w:t>
      </w:r>
      <w:r w:rsidRPr="00AB67C0">
        <w:rPr>
          <w:rFonts w:ascii="宋体" w:hAnsi="宋体" w:hint="eastAsia"/>
        </w:rPr>
        <w:t>期间无分红</w:t>
      </w:r>
      <w:r w:rsidRPr="00AB67C0">
        <w:rPr>
          <w:rFonts w:ascii="宋体" w:hAnsi="宋体" w:cs="宋体" w:hint="eastAsia"/>
          <w:kern w:val="0"/>
        </w:rPr>
        <w:t>。到期时扣除增值税、托管费、固定管理费等各类税费后，</w:t>
      </w:r>
      <w:r w:rsidRPr="00AB67C0">
        <w:rPr>
          <w:rFonts w:ascii="宋体" w:hAnsi="宋体" w:hint="eastAsia"/>
        </w:rPr>
        <w:t>如产品净值为1.0496，此时，(1.0496/1.00-1)×365/362=5.00%&lt;5.60%，即投资收益未达到业绩比较基准，则投资管理人不收取浮动管理费，客户最终收益为：100,000.00×(1.0496-1.00）=4,960.00（元）。</w:t>
      </w:r>
    </w:p>
    <w:p w:rsidR="00C03E6A" w:rsidRPr="00AB67C0" w:rsidRDefault="00C03E6A" w:rsidP="00C03E6A">
      <w:pPr>
        <w:spacing w:line="360" w:lineRule="auto"/>
        <w:ind w:firstLineChars="200" w:firstLine="422"/>
        <w:rPr>
          <w:rFonts w:ascii="宋体" w:hAnsi="宋体"/>
          <w:b/>
          <w:bCs/>
          <w:kern w:val="0"/>
        </w:rPr>
      </w:pPr>
      <w:r w:rsidRPr="00AB67C0">
        <w:rPr>
          <w:rFonts w:ascii="宋体" w:hAnsi="宋体" w:cs="宋体" w:hint="eastAsia"/>
          <w:b/>
          <w:bCs/>
          <w:kern w:val="0"/>
        </w:rPr>
        <w:t>示例三：扣除托管费、固定管理费后，投资发生亏损</w:t>
      </w:r>
    </w:p>
    <w:p w:rsidR="00C03E6A" w:rsidRPr="00AB67C0" w:rsidRDefault="00C03E6A" w:rsidP="00C03E6A">
      <w:pPr>
        <w:spacing w:line="360" w:lineRule="auto"/>
        <w:ind w:firstLineChars="200" w:firstLine="420"/>
        <w:rPr>
          <w:rFonts w:ascii="宋体" w:hAnsi="宋体" w:cs="宋体"/>
          <w:kern w:val="0"/>
        </w:rPr>
      </w:pPr>
      <w:r w:rsidRPr="00AB67C0">
        <w:rPr>
          <w:rFonts w:ascii="宋体" w:hAnsi="宋体" w:cs="宋体" w:hint="eastAsia"/>
          <w:kern w:val="0"/>
        </w:rPr>
        <w:t>以某客户投资</w:t>
      </w:r>
      <w:r w:rsidRPr="00AB67C0">
        <w:rPr>
          <w:rFonts w:ascii="宋体" w:hAnsi="宋体" w:cs="宋体"/>
          <w:kern w:val="0"/>
        </w:rPr>
        <w:t>10</w:t>
      </w:r>
      <w:r w:rsidRPr="00AB67C0">
        <w:rPr>
          <w:rFonts w:ascii="宋体" w:hAnsi="宋体" w:cs="宋体" w:hint="eastAsia"/>
          <w:kern w:val="0"/>
        </w:rPr>
        <w:t>万元为例，购买时产品净值为</w:t>
      </w:r>
      <w:r w:rsidRPr="00AB67C0">
        <w:rPr>
          <w:rFonts w:ascii="宋体" w:hAnsi="宋体" w:cs="宋体"/>
          <w:kern w:val="0"/>
        </w:rPr>
        <w:t>1.00</w:t>
      </w:r>
      <w:r w:rsidRPr="00AB67C0">
        <w:rPr>
          <w:rFonts w:ascii="宋体" w:hAnsi="宋体" w:cs="宋体" w:hint="eastAsia"/>
          <w:kern w:val="0"/>
        </w:rPr>
        <w:t>元，折算份额为</w:t>
      </w:r>
      <w:r w:rsidRPr="00AB67C0">
        <w:rPr>
          <w:rFonts w:ascii="宋体" w:hAnsi="宋体" w:cs="宋体"/>
          <w:kern w:val="0"/>
        </w:rPr>
        <w:t>100000.00</w:t>
      </w:r>
      <w:r w:rsidRPr="00AB67C0">
        <w:rPr>
          <w:rFonts w:ascii="宋体" w:hAnsi="宋体" w:cs="宋体" w:hint="eastAsia"/>
          <w:kern w:val="0"/>
        </w:rPr>
        <w:t>份，投资本理财产品</w:t>
      </w:r>
      <w:r w:rsidRPr="00AB67C0">
        <w:rPr>
          <w:rFonts w:ascii="宋体" w:hAnsi="宋体" w:cs="宋体"/>
          <w:kern w:val="0"/>
        </w:rPr>
        <w:t>36</w:t>
      </w:r>
      <w:r w:rsidRPr="00AB67C0">
        <w:rPr>
          <w:rFonts w:ascii="宋体" w:hAnsi="宋体" w:cs="宋体" w:hint="eastAsia"/>
          <w:kern w:val="0"/>
        </w:rPr>
        <w:t>2天后，到期份额</w:t>
      </w:r>
      <w:r w:rsidRPr="00AB67C0">
        <w:rPr>
          <w:rFonts w:ascii="宋体" w:hAnsi="宋体" w:cs="宋体"/>
          <w:kern w:val="0"/>
        </w:rPr>
        <w:t>100000.00</w:t>
      </w:r>
      <w:r w:rsidRPr="00AB67C0">
        <w:rPr>
          <w:rFonts w:ascii="宋体" w:hAnsi="宋体" w:cs="宋体" w:hint="eastAsia"/>
          <w:kern w:val="0"/>
        </w:rPr>
        <w:t>份。假设</w:t>
      </w:r>
      <w:r w:rsidRPr="00AB67C0">
        <w:rPr>
          <w:rFonts w:ascii="宋体" w:hAnsi="宋体" w:hint="eastAsia"/>
        </w:rPr>
        <w:t>管理人提取超过业绩基准部分的80%作为浮动管理费，</w:t>
      </w:r>
      <w:r w:rsidRPr="00AB67C0">
        <w:rPr>
          <w:rFonts w:ascii="宋体" w:hAnsi="宋体" w:cs="宋体" w:hint="eastAsia"/>
          <w:kern w:val="0"/>
        </w:rPr>
        <w:t>产品业绩比较基准为5.60</w:t>
      </w:r>
      <w:r w:rsidRPr="00AB67C0">
        <w:rPr>
          <w:rFonts w:ascii="宋体" w:hAnsi="宋体" w:cs="宋体"/>
          <w:kern w:val="0"/>
        </w:rPr>
        <w:t>%</w:t>
      </w:r>
      <w:r w:rsidRPr="00AB67C0">
        <w:rPr>
          <w:rFonts w:ascii="宋体" w:hAnsi="宋体" w:hint="eastAsia"/>
        </w:rPr>
        <w:t>。到期</w:t>
      </w:r>
      <w:r w:rsidRPr="00AB67C0">
        <w:rPr>
          <w:rFonts w:ascii="宋体" w:hAnsi="宋体" w:cs="宋体" w:hint="eastAsia"/>
          <w:kern w:val="0"/>
        </w:rPr>
        <w:t>时扣除增值税、托管费、固定管理费等各类税费后，如产品净值为</w:t>
      </w:r>
      <w:r w:rsidRPr="00AB67C0">
        <w:rPr>
          <w:rFonts w:ascii="宋体" w:hAnsi="宋体" w:cs="宋体"/>
          <w:kern w:val="0"/>
        </w:rPr>
        <w:t>0.9975</w:t>
      </w:r>
      <w:r w:rsidRPr="00AB67C0">
        <w:rPr>
          <w:rFonts w:ascii="宋体" w:hAnsi="宋体" w:cs="宋体" w:hint="eastAsia"/>
          <w:kern w:val="0"/>
        </w:rPr>
        <w:t>，</w:t>
      </w:r>
      <w:r w:rsidRPr="00AB67C0">
        <w:rPr>
          <w:rFonts w:ascii="宋体" w:hAnsi="宋体" w:hint="eastAsia"/>
        </w:rPr>
        <w:t>则投资管理人不收取浮动管理费，</w:t>
      </w:r>
      <w:r w:rsidRPr="00AB67C0">
        <w:rPr>
          <w:rFonts w:ascii="宋体" w:hAnsi="宋体" w:cs="宋体" w:hint="eastAsia"/>
          <w:kern w:val="0"/>
        </w:rPr>
        <w:t>客户最终收益为：</w:t>
      </w:r>
      <w:r w:rsidRPr="00AB67C0">
        <w:rPr>
          <w:rFonts w:ascii="宋体" w:hAnsi="宋体" w:cs="宋体"/>
          <w:kern w:val="0"/>
        </w:rPr>
        <w:t>0.9975</w:t>
      </w:r>
      <w:r w:rsidRPr="00AB67C0">
        <w:rPr>
          <w:rFonts w:ascii="宋体" w:hAnsi="宋体" w:cs="宋体" w:hint="eastAsia"/>
          <w:kern w:val="0"/>
        </w:rPr>
        <w:t>×</w:t>
      </w:r>
      <w:r w:rsidRPr="00AB67C0">
        <w:rPr>
          <w:rFonts w:ascii="宋体" w:hAnsi="宋体" w:cs="宋体"/>
          <w:kern w:val="0"/>
        </w:rPr>
        <w:t>100000.00-1.00</w:t>
      </w:r>
      <w:r w:rsidRPr="00AB67C0">
        <w:rPr>
          <w:rFonts w:ascii="宋体" w:hAnsi="宋体" w:cs="宋体" w:hint="eastAsia"/>
          <w:kern w:val="0"/>
        </w:rPr>
        <w:t>×</w:t>
      </w:r>
      <w:r w:rsidRPr="00AB67C0">
        <w:rPr>
          <w:rFonts w:ascii="宋体" w:hAnsi="宋体" w:cs="宋体"/>
          <w:kern w:val="0"/>
        </w:rPr>
        <w:t>100000.00=-250.00</w:t>
      </w:r>
      <w:r w:rsidRPr="00AB67C0">
        <w:rPr>
          <w:rFonts w:ascii="宋体" w:hAnsi="宋体" w:cs="宋体" w:hint="eastAsia"/>
          <w:kern w:val="0"/>
        </w:rPr>
        <w:t>（元）。</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lastRenderedPageBreak/>
        <w:t>（四）最不利情况分析</w:t>
      </w:r>
    </w:p>
    <w:p w:rsidR="00C03E6A" w:rsidRPr="00AB67C0" w:rsidRDefault="00C03E6A" w:rsidP="00C03E6A">
      <w:pPr>
        <w:spacing w:line="360" w:lineRule="auto"/>
        <w:ind w:firstLineChars="200" w:firstLine="420"/>
        <w:rPr>
          <w:rFonts w:ascii="宋体" w:hAnsi="宋体"/>
        </w:rPr>
      </w:pPr>
      <w:r w:rsidRPr="00AB67C0">
        <w:rPr>
          <w:rFonts w:ascii="宋体" w:hAnsi="宋体" w:cs="宋体" w:hint="eastAsia"/>
        </w:rPr>
        <w:t>本产品为固定收益类净值型理财产品，由于市场波动导致投资品贬值或者投资品发生信用风险导致相应损失，使产品到期时投资收益达不到业绩基准，甚至不足以支付理财产品本金，届时理财资金将按照产品实际净值向客户进行分配。但在此种情形下，理财产品保留向发生信用风险的投资品发行主体进行追偿的法定权利，若这些权利在未来得以实现，在扣除相关费用后，将继续向客户进行清偿。</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产品终止</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终止权的行使：本理财产品发生全部终止时，新昌农商银行可以通过公告通知客户全部兑付本理财产品，并按约定将可兑付款项支付给客户。</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资金清算：终止日（实际到期日）后</w:t>
      </w:r>
      <w:r w:rsidRPr="00AB67C0">
        <w:rPr>
          <w:rFonts w:ascii="宋体" w:hAnsi="宋体" w:cs="宋体"/>
          <w:color w:val="000000"/>
          <w:kern w:val="0"/>
        </w:rPr>
        <w:t>2</w:t>
      </w:r>
      <w:r w:rsidRPr="00AB67C0">
        <w:rPr>
          <w:rFonts w:ascii="宋体" w:hAnsi="宋体" w:cs="宋体" w:hint="eastAsia"/>
          <w:color w:val="000000"/>
          <w:kern w:val="0"/>
        </w:rPr>
        <w:t>个工作日为资金清算期，该期间不计付利息。</w:t>
      </w:r>
    </w:p>
    <w:p w:rsidR="00C03E6A" w:rsidRPr="00AB67C0" w:rsidRDefault="00C03E6A" w:rsidP="00C03E6A">
      <w:pPr>
        <w:pStyle w:val="ListParagraph1"/>
        <w:numPr>
          <w:ilvl w:val="0"/>
          <w:numId w:val="3"/>
        </w:numPr>
        <w:spacing w:line="360" w:lineRule="auto"/>
        <w:ind w:left="0" w:firstLineChars="0"/>
        <w:rPr>
          <w:rFonts w:ascii="宋体" w:hAnsi="宋体" w:cs="宋体"/>
          <w:color w:val="000000"/>
          <w:kern w:val="0"/>
        </w:rPr>
      </w:pPr>
      <w:r w:rsidRPr="00AB67C0">
        <w:rPr>
          <w:rFonts w:ascii="宋体" w:hAnsi="宋体" w:cs="宋体" w:hint="eastAsia"/>
          <w:color w:val="000000"/>
          <w:kern w:val="0"/>
        </w:rPr>
        <w:t>终止事项</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发生以下事项时，新昌农商银行可对本理财产品行使全部终止权：</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（1）如因本理财产品资产运作模式等与相关政策、法律法规、规章的规定或者监管机构的要求等存在冲突导致理财产品必须提前终止的；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（2）国家有关法律、法规、规章、政策的改变、紧急措施的出台、理财市场环境发生重大变化等导致理财产品必须提前终止的；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（3）因地震、火灾、战争、罢工等不可抗力因素导致本理财产品必须提前终止的；</w:t>
      </w:r>
    </w:p>
    <w:p w:rsidR="00C03E6A" w:rsidRPr="00AB67C0" w:rsidRDefault="00C03E6A" w:rsidP="00C03E6A">
      <w:pPr>
        <w:pStyle w:val="ListParagraph1"/>
        <w:spacing w:line="360" w:lineRule="auto"/>
        <w:ind w:firstLineChars="0" w:firstLine="0"/>
        <w:rPr>
          <w:rFonts w:ascii="宋体" w:hAnsi="宋体" w:cs="Times New Roman"/>
          <w:color w:val="000000"/>
          <w:kern w:val="0"/>
        </w:rPr>
      </w:pPr>
      <w:r w:rsidRPr="00AB67C0">
        <w:rPr>
          <w:rFonts w:ascii="宋体" w:hAnsi="宋体" w:cs="宋体" w:hint="eastAsia"/>
          <w:color w:val="000000"/>
          <w:kern w:val="0"/>
        </w:rPr>
        <w:t>（4）新昌农商银行认为应该提前终止本理财产品的其他情况。</w:t>
      </w:r>
    </w:p>
    <w:p w:rsidR="00C03E6A" w:rsidRPr="00AB67C0" w:rsidRDefault="00C03E6A" w:rsidP="00C03E6A">
      <w:pPr>
        <w:pStyle w:val="ListParagraph1"/>
        <w:numPr>
          <w:ilvl w:val="0"/>
          <w:numId w:val="3"/>
        </w:numPr>
        <w:spacing w:line="360" w:lineRule="auto"/>
        <w:ind w:left="0" w:firstLineChars="0"/>
        <w:rPr>
          <w:rFonts w:ascii="宋体" w:hAnsi="宋体" w:cs="Times New Roman"/>
          <w:color w:val="000000"/>
          <w:kern w:val="0"/>
        </w:rPr>
      </w:pPr>
      <w:r w:rsidRPr="00AB67C0">
        <w:rPr>
          <w:rFonts w:ascii="宋体" w:hAnsi="宋体" w:cs="宋体" w:hint="eastAsia"/>
          <w:color w:val="000000"/>
          <w:kern w:val="0"/>
        </w:rPr>
        <w:t>终止的信息公告</w:t>
      </w:r>
    </w:p>
    <w:p w:rsidR="00C03E6A" w:rsidRPr="00AB67C0" w:rsidRDefault="00C03E6A" w:rsidP="00C03E6A">
      <w:pPr>
        <w:pStyle w:val="ListParagraph1"/>
        <w:spacing w:line="360" w:lineRule="auto"/>
        <w:ind w:firstLineChars="0" w:firstLine="0"/>
        <w:rPr>
          <w:rFonts w:ascii="宋体" w:hAnsi="宋体" w:cs="宋体"/>
          <w:color w:val="000000"/>
          <w:kern w:val="0"/>
        </w:rPr>
      </w:pPr>
      <w:r w:rsidRPr="00AB67C0">
        <w:rPr>
          <w:rFonts w:ascii="宋体" w:hAnsi="宋体" w:cs="宋体" w:hint="eastAsia"/>
          <w:color w:val="000000"/>
          <w:kern w:val="0"/>
        </w:rPr>
        <w:t>如遇本理财产品终止事项，新昌农商银行将提前1个工作日通过新昌农商银行网站及时公告相关信息，敬请予以关注。</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Times New Roman" w:hint="eastAsia"/>
          <w:sz w:val="28"/>
          <w:szCs w:val="28"/>
        </w:rPr>
        <w:t>税费规定</w:t>
      </w:r>
    </w:p>
    <w:p w:rsidR="00C03E6A" w:rsidRPr="00AB67C0" w:rsidRDefault="00C03E6A" w:rsidP="00C03E6A">
      <w:pPr>
        <w:pStyle w:val="ListParagraph1"/>
        <w:spacing w:line="360" w:lineRule="auto"/>
        <w:rPr>
          <w:rFonts w:ascii="宋体" w:hAnsi="宋体" w:cs="Times New Roman"/>
          <w:color w:val="000000"/>
          <w:kern w:val="0"/>
        </w:rPr>
      </w:pPr>
      <w:r w:rsidRPr="00AB67C0">
        <w:rPr>
          <w:rFonts w:ascii="宋体" w:hAnsi="宋体" w:cs="宋体" w:hint="eastAsia"/>
          <w:color w:val="000000"/>
          <w:kern w:val="0"/>
        </w:rPr>
        <w:t>理财计划财产在管理、运用、处分过程中产生的税费（包括但不限于增值税及相应的附加税费等），由理财计划财产承担；新昌农商银行对该等税费无垫付义务。前述税费（包括但不限于增值税及相应附加税费）的计算、提取及缴纳，由新昌农商银行按照应税行为发生时有效的相关法律法规的规定执行。支付给客户的理财收益的应纳税款由客户自行申报及缴纳。</w:t>
      </w:r>
    </w:p>
    <w:p w:rsidR="00C03E6A" w:rsidRPr="00AB67C0" w:rsidRDefault="00C03E6A" w:rsidP="00C03E6A">
      <w:pPr>
        <w:pStyle w:val="a6"/>
        <w:numPr>
          <w:ilvl w:val="0"/>
          <w:numId w:val="1"/>
        </w:numPr>
        <w:spacing w:before="0" w:after="0" w:line="360" w:lineRule="auto"/>
        <w:ind w:hanging="420"/>
        <w:jc w:val="both"/>
        <w:outlineLvl w:val="9"/>
        <w:rPr>
          <w:rFonts w:ascii="宋体" w:hAnsi="宋体" w:cs="Times New Roman"/>
          <w:sz w:val="28"/>
          <w:szCs w:val="28"/>
        </w:rPr>
      </w:pPr>
      <w:r w:rsidRPr="00AB67C0">
        <w:rPr>
          <w:rFonts w:ascii="宋体" w:hAnsi="宋体" w:cs="宋体" w:hint="eastAsia"/>
          <w:sz w:val="28"/>
          <w:szCs w:val="28"/>
        </w:rPr>
        <w:t>信息披露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本理财计划信息披露通过新昌农商银行网站公告或其他形式进行披露。</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lastRenderedPageBreak/>
        <w:t>理财计划成立后，新昌农商银行会在每周第一个工作日披露本理财上周最后一个工作日的产品净值。</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在每季度结束之日起15日内编制完成理财计划运行报告，向客户披露当期存续规模、收益表现，并分别列示直接和间接投资的资产种类、投资比例、投资组合的流动性风险分析等资产情况，并将运行报告正文通过新昌农商银行网站披露。理财产品成立不足90日或者存续期不超过90日的，不编制理财产品当期的季度报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新昌农商银行会在理财计划发生投资资产存在风险、理财计划要素发生较大改变、监管政策发生变化等通过管理人判断会影响本理财计划的收益或运作情况时，及时发布不定期或临时公告。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Times New Roman"/>
          <w:sz w:val="21"/>
          <w:szCs w:val="21"/>
        </w:rPr>
      </w:pPr>
      <w:r w:rsidRPr="00AB67C0">
        <w:rPr>
          <w:rFonts w:ascii="宋体" w:hAnsi="宋体" w:cs="宋体" w:hint="eastAsia"/>
          <w:sz w:val="21"/>
          <w:szCs w:val="21"/>
        </w:rPr>
        <w:t>新昌农商银行如在特定情况下终止本产品，将于实际终止日前至少1个工作日，在新昌农商银行网站发布相关信息公告。</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新昌农商银行将在理财期内在新昌农商银行网站对本产品说明书予以公示，若客户持有的销售文件与网站公示的产品说明书不一致，应以网站公示为准。</w:t>
      </w:r>
    </w:p>
    <w:p w:rsidR="00C03E6A" w:rsidRPr="00AB67C0" w:rsidRDefault="00C03E6A" w:rsidP="00C03E6A">
      <w:pPr>
        <w:pStyle w:val="Default"/>
        <w:numPr>
          <w:ilvl w:val="0"/>
          <w:numId w:val="2"/>
        </w:numPr>
        <w:tabs>
          <w:tab w:val="left" w:pos="0"/>
        </w:tabs>
        <w:adjustRightInd/>
        <w:spacing w:line="360" w:lineRule="auto"/>
        <w:ind w:left="0" w:firstLineChars="202" w:firstLine="424"/>
        <w:rPr>
          <w:rFonts w:ascii="宋体" w:hAnsi="宋体" w:cs="宋体"/>
          <w:sz w:val="21"/>
          <w:szCs w:val="21"/>
        </w:rPr>
      </w:pPr>
      <w:r w:rsidRPr="00AB67C0">
        <w:rPr>
          <w:rFonts w:ascii="宋体" w:hAnsi="宋体" w:cs="宋体" w:hint="eastAsia"/>
          <w:sz w:val="21"/>
          <w:szCs w:val="21"/>
        </w:rPr>
        <w:t>本理财产品说明书在法律许可的范围内由银行负责解释。若客户对本理财说明书的内容有任何疑问或异议，请致电客户服务热线0575-86266991咨询、投诉。客户在投资前，请仔细阅读本产品说明书，并作出独立的投资决策。</w:t>
      </w:r>
    </w:p>
    <w:p w:rsidR="00C03E6A" w:rsidRPr="00AB67C0" w:rsidRDefault="00C03E6A" w:rsidP="00C03E6A">
      <w:pPr>
        <w:spacing w:line="360" w:lineRule="auto"/>
        <w:ind w:firstLineChars="202" w:firstLine="424"/>
        <w:rPr>
          <w:rFonts w:ascii="宋体" w:hAnsi="宋体" w:cs="宋体"/>
          <w:color w:val="000000"/>
          <w:kern w:val="0"/>
        </w:rPr>
      </w:pPr>
      <w:r w:rsidRPr="00AB67C0">
        <w:rPr>
          <w:rFonts w:ascii="宋体" w:hAnsi="宋体" w:cs="宋体" w:hint="eastAsia"/>
          <w:color w:val="000000"/>
          <w:kern w:val="0"/>
        </w:rPr>
        <w:t>新昌农商银行将恪守勤勉尽责的原则，合理配置财产组合，为客户提供专业化的理财服务。客户应密切关注新昌农商银行与本理财计划有关的信息披露，以免造成不必要的损失。客户因自身原因或不可抗力导致未及时获知本理财产品的运作或收益分配情况，银行不承担任何责任。 本理财产品说明书在法律许可的范围内由银行负责解释。若客户对本理财说明书的内容有任何疑问或异议，请致电客户服务热线0575-86266991咨询、投诉。</w:t>
      </w:r>
    </w:p>
    <w:p w:rsidR="00F7775A" w:rsidRPr="00C03E6A" w:rsidRDefault="00F7775A"/>
    <w:sectPr w:rsidR="00F7775A" w:rsidRPr="00C03E6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CAB" w:rsidRDefault="001D0CAB" w:rsidP="00C03E6A">
      <w:r>
        <w:separator/>
      </w:r>
    </w:p>
  </w:endnote>
  <w:endnote w:type="continuationSeparator" w:id="0">
    <w:p w:rsidR="001D0CAB" w:rsidRDefault="001D0CAB" w:rsidP="00C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CAB" w:rsidRDefault="001D0CAB" w:rsidP="00C03E6A">
      <w:r>
        <w:separator/>
      </w:r>
    </w:p>
  </w:footnote>
  <w:footnote w:type="continuationSeparator" w:id="0">
    <w:p w:rsidR="001D0CAB" w:rsidRDefault="001D0CAB" w:rsidP="00C03E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8274D"/>
    <w:multiLevelType w:val="multilevel"/>
    <w:tmpl w:val="441C3404"/>
    <w:lvl w:ilvl="0">
      <w:start w:val="1"/>
      <w:numFmt w:val="decimal"/>
      <w:lvlText w:val="%1."/>
      <w:lvlJc w:val="left"/>
      <w:pPr>
        <w:ind w:left="846"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
    <w:nsid w:val="225D6F4E"/>
    <w:multiLevelType w:val="multilevel"/>
    <w:tmpl w:val="225D6F4E"/>
    <w:lvl w:ilvl="0">
      <w:start w:val="1"/>
      <w:numFmt w:val="chineseCountingThousand"/>
      <w:suff w:val="nothing"/>
      <w:lvlText w:val="（%1）"/>
      <w:lvlJc w:val="left"/>
      <w:pPr>
        <w:ind w:left="6597" w:hanging="360"/>
      </w:pPr>
      <w:rPr>
        <w:rFonts w:ascii="Times New Roman" w:eastAsia="宋体" w:hAnsi="Times New Roman"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abstractNum w:abstractNumId="2">
    <w:nsid w:val="40D15568"/>
    <w:multiLevelType w:val="multilevel"/>
    <w:tmpl w:val="6A18BCC8"/>
    <w:lvl w:ilvl="0">
      <w:start w:val="1"/>
      <w:numFmt w:val="chineseCountingThousand"/>
      <w:lvlText w:val="%1、"/>
      <w:lvlJc w:val="left"/>
      <w:pPr>
        <w:ind w:left="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4CFE7B6D"/>
    <w:multiLevelType w:val="hybridMultilevel"/>
    <w:tmpl w:val="98D0FB52"/>
    <w:lvl w:ilvl="0" w:tplc="D2E660C4">
      <w:start w:val="4"/>
      <w:numFmt w:val="japaneseCounting"/>
      <w:lvlText w:val="（%1）"/>
      <w:lvlJc w:val="left"/>
      <w:pPr>
        <w:ind w:left="1140" w:hanging="720"/>
      </w:pPr>
      <w:rPr>
        <w:rFonts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2D"/>
    <w:rsid w:val="000F0C2A"/>
    <w:rsid w:val="001864A1"/>
    <w:rsid w:val="001D0CAB"/>
    <w:rsid w:val="00684E08"/>
    <w:rsid w:val="00803B7C"/>
    <w:rsid w:val="00A0472D"/>
    <w:rsid w:val="00AA2DA2"/>
    <w:rsid w:val="00B068F3"/>
    <w:rsid w:val="00C03E6A"/>
    <w:rsid w:val="00C85400"/>
    <w:rsid w:val="00DC3E03"/>
    <w:rsid w:val="00E4485B"/>
    <w:rsid w:val="00E6239E"/>
    <w:rsid w:val="00F7775A"/>
    <w:rsid w:val="00F86663"/>
    <w:rsid w:val="00FC4CB6"/>
    <w:rsid w:val="00FE5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3E6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3E6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3E6A"/>
    <w:rPr>
      <w:sz w:val="18"/>
      <w:szCs w:val="18"/>
    </w:rPr>
  </w:style>
  <w:style w:type="paragraph" w:styleId="a4">
    <w:name w:val="footer"/>
    <w:basedOn w:val="a"/>
    <w:link w:val="Char0"/>
    <w:uiPriority w:val="99"/>
    <w:unhideWhenUsed/>
    <w:rsid w:val="00C03E6A"/>
    <w:pPr>
      <w:tabs>
        <w:tab w:val="center" w:pos="4153"/>
        <w:tab w:val="right" w:pos="8306"/>
      </w:tabs>
      <w:snapToGrid w:val="0"/>
      <w:jc w:val="left"/>
    </w:pPr>
    <w:rPr>
      <w:sz w:val="18"/>
      <w:szCs w:val="18"/>
    </w:rPr>
  </w:style>
  <w:style w:type="character" w:customStyle="1" w:styleId="Char0">
    <w:name w:val="页脚 Char"/>
    <w:basedOn w:val="a0"/>
    <w:link w:val="a4"/>
    <w:uiPriority w:val="99"/>
    <w:rsid w:val="00C03E6A"/>
    <w:rPr>
      <w:sz w:val="18"/>
      <w:szCs w:val="18"/>
    </w:rPr>
  </w:style>
  <w:style w:type="character" w:customStyle="1" w:styleId="Char1">
    <w:name w:val="列出段落 Char"/>
    <w:link w:val="a5"/>
    <w:locked/>
    <w:rsid w:val="00C03E6A"/>
    <w:rPr>
      <w:rFonts w:ascii="Calibri" w:hAnsi="Calibri" w:cs="Calibri"/>
      <w:sz w:val="22"/>
    </w:rPr>
  </w:style>
  <w:style w:type="paragraph" w:styleId="a5">
    <w:name w:val="List Paragraph"/>
    <w:basedOn w:val="a"/>
    <w:link w:val="Char1"/>
    <w:qFormat/>
    <w:rsid w:val="00C03E6A"/>
    <w:pPr>
      <w:ind w:firstLineChars="200" w:firstLine="420"/>
    </w:pPr>
    <w:rPr>
      <w:rFonts w:eastAsiaTheme="minorEastAsia" w:cs="Calibri"/>
      <w:sz w:val="22"/>
    </w:rPr>
  </w:style>
  <w:style w:type="paragraph" w:styleId="a6">
    <w:name w:val="Subtitle"/>
    <w:basedOn w:val="a"/>
    <w:next w:val="a"/>
    <w:link w:val="Char2"/>
    <w:uiPriority w:val="99"/>
    <w:qFormat/>
    <w:rsid w:val="00C03E6A"/>
    <w:pPr>
      <w:spacing w:before="240" w:after="60" w:line="312" w:lineRule="auto"/>
      <w:jc w:val="center"/>
      <w:outlineLvl w:val="1"/>
    </w:pPr>
    <w:rPr>
      <w:rFonts w:ascii="Cambria" w:hAnsi="Cambria" w:cs="Cambria"/>
      <w:b/>
      <w:bCs/>
      <w:kern w:val="28"/>
      <w:sz w:val="32"/>
      <w:szCs w:val="32"/>
    </w:rPr>
  </w:style>
  <w:style w:type="character" w:customStyle="1" w:styleId="Char2">
    <w:name w:val="副标题 Char"/>
    <w:basedOn w:val="a0"/>
    <w:link w:val="a6"/>
    <w:uiPriority w:val="99"/>
    <w:qFormat/>
    <w:rsid w:val="00C03E6A"/>
    <w:rPr>
      <w:rFonts w:ascii="Cambria" w:eastAsia="宋体" w:hAnsi="Cambria" w:cs="Cambria"/>
      <w:b/>
      <w:bCs/>
      <w:kern w:val="28"/>
      <w:sz w:val="32"/>
      <w:szCs w:val="32"/>
    </w:rPr>
  </w:style>
  <w:style w:type="paragraph" w:customStyle="1" w:styleId="ListParagraph1">
    <w:name w:val="List Paragraph1"/>
    <w:basedOn w:val="a"/>
    <w:uiPriority w:val="99"/>
    <w:qFormat/>
    <w:rsid w:val="00C03E6A"/>
    <w:pPr>
      <w:ind w:firstLineChars="200" w:firstLine="420"/>
    </w:pPr>
    <w:rPr>
      <w:rFonts w:cs="Calibri"/>
      <w:szCs w:val="21"/>
    </w:rPr>
  </w:style>
  <w:style w:type="paragraph" w:customStyle="1" w:styleId="Default">
    <w:name w:val="Default"/>
    <w:uiPriority w:val="99"/>
    <w:qFormat/>
    <w:rsid w:val="00C03E6A"/>
    <w:pPr>
      <w:widowControl w:val="0"/>
      <w:autoSpaceDE w:val="0"/>
      <w:autoSpaceDN w:val="0"/>
      <w:adjustRightInd w:val="0"/>
    </w:pPr>
    <w:rPr>
      <w:rFonts w:ascii="Wingdings" w:eastAsia="宋体" w:hAnsi="Wingdings" w:cs="Wingdings"/>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8</Pages>
  <Words>1017</Words>
  <Characters>5802</Characters>
  <Application>Microsoft Office Word</Application>
  <DocSecurity>0</DocSecurity>
  <Lines>48</Lines>
  <Paragraphs>13</Paragraphs>
  <ScaleCrop>false</ScaleCrop>
  <Company/>
  <LinksUpToDate>false</LinksUpToDate>
  <CharactersWithSpaces>6806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丁琳滢</cp:lastModifiedBy>
  <cp:revision>15</cp:revision>
  <dcterms:created xsi:type="dcterms:W3CDTF">2020-04-28T03:10:00Z</dcterms:created>
  <dcterms:modified xsi:type="dcterms:W3CDTF">2020-08-05T04:53:00Z</dcterms:modified>
</cp:coreProperties>
</file>