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A032AD" w:rsidP="000974EF">
      <w:pPr>
        <w:autoSpaceDE w:val="0"/>
        <w:autoSpaceDN w:val="0"/>
        <w:spacing w:line="480" w:lineRule="exact"/>
        <w:rPr>
          <w:rFonts w:eastAsia="黑体"/>
          <w:sz w:val="36"/>
          <w:szCs w:val="36"/>
        </w:rPr>
      </w:pPr>
      <w:r>
        <w:rPr>
          <w:rFonts w:eastAsia="黑体" w:cs="黑体" w:hint="eastAsia"/>
          <w:sz w:val="36"/>
          <w:szCs w:val="36"/>
        </w:rPr>
        <w:t>.</w:t>
      </w:r>
      <w:r w:rsidR="00145329" w:rsidRPr="00B94AC2">
        <w:rPr>
          <w:rFonts w:eastAsia="黑体" w:cs="黑体" w:hint="eastAsia"/>
          <w:sz w:val="36"/>
          <w:szCs w:val="36"/>
        </w:rPr>
        <w:t>浙江新昌农村商业银行股份有限公司“天</w:t>
      </w:r>
      <w:proofErr w:type="gramStart"/>
      <w:r w:rsidR="00145329" w:rsidRPr="00B94AC2">
        <w:rPr>
          <w:rFonts w:eastAsia="黑体" w:cs="黑体" w:hint="eastAsia"/>
          <w:sz w:val="36"/>
          <w:szCs w:val="36"/>
        </w:rPr>
        <w:t>姥</w:t>
      </w:r>
      <w:proofErr w:type="gramEnd"/>
      <w:r w:rsidR="00145329" w:rsidRPr="00B94AC2">
        <w:rPr>
          <w:rFonts w:cs="宋体" w:hint="eastAsia"/>
          <w:sz w:val="36"/>
          <w:szCs w:val="36"/>
        </w:rPr>
        <w:t>•</w:t>
      </w:r>
      <w:r w:rsidR="00145329"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0E64F2">
        <w:rPr>
          <w:rFonts w:eastAsia="黑体" w:cs="黑体" w:hint="eastAsia"/>
          <w:sz w:val="36"/>
          <w:szCs w:val="36"/>
        </w:rPr>
        <w:t>60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w:t>
      </w:r>
      <w:bookmarkStart w:id="0" w:name="_GoBack"/>
      <w:bookmarkEnd w:id="0"/>
      <w:r w:rsidRPr="00B94AC2">
        <w:rPr>
          <w:rFonts w:eastAsia="黑体" w:cs="黑体" w:hint="eastAsia"/>
          <w:sz w:val="18"/>
          <w:szCs w:val="18"/>
        </w:rPr>
        <w:t>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0E64F2">
              <w:rPr>
                <w:rFonts w:eastAsia="仿宋_GB2312" w:cs="仿宋_GB2312" w:hint="eastAsia"/>
                <w:sz w:val="18"/>
                <w:szCs w:val="18"/>
              </w:rPr>
              <w:t>60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A032AD">
              <w:rPr>
                <w:rFonts w:eastAsia="仿宋_GB2312" w:cs="仿宋_GB2312" w:hint="eastAsia"/>
                <w:sz w:val="18"/>
                <w:szCs w:val="18"/>
              </w:rPr>
              <w:t>062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032AD" w:rsidP="00A032AD">
            <w:pPr>
              <w:rPr>
                <w:rFonts w:eastAsia="仿宋_GB2312"/>
                <w:sz w:val="18"/>
                <w:szCs w:val="18"/>
              </w:rPr>
            </w:pPr>
            <w:r w:rsidRPr="00464A22">
              <w:rPr>
                <w:rFonts w:eastAsia="仿宋_GB2312" w:cs="仿宋_GB2312" w:hint="eastAsia"/>
                <w:sz w:val="18"/>
                <w:szCs w:val="18"/>
              </w:rPr>
              <w:t>3.5</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至</w:t>
            </w:r>
            <w:r w:rsidRPr="00464A22">
              <w:rPr>
                <w:rFonts w:eastAsia="仿宋_GB2312" w:cs="仿宋_GB2312" w:hint="eastAsia"/>
                <w:sz w:val="18"/>
                <w:szCs w:val="18"/>
              </w:rPr>
              <w:t>3.7</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3.5</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w:t>
            </w:r>
            <w:r>
              <w:rPr>
                <w:rFonts w:eastAsia="仿宋_GB2312" w:cs="仿宋_GB2312" w:hint="eastAsia"/>
                <w:sz w:val="18"/>
                <w:szCs w:val="18"/>
              </w:rPr>
              <w:t>6</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3.6</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。丰收互联（</w:t>
            </w:r>
            <w:proofErr w:type="gramStart"/>
            <w:r w:rsidRPr="00464A22">
              <w:rPr>
                <w:rFonts w:eastAsia="仿宋_GB2312" w:cs="仿宋_GB2312" w:hint="eastAsia"/>
                <w:sz w:val="18"/>
                <w:szCs w:val="18"/>
              </w:rPr>
              <w:t>含网银</w:t>
            </w:r>
            <w:proofErr w:type="gramEnd"/>
            <w:r w:rsidRPr="00464A22">
              <w:rPr>
                <w:rFonts w:eastAsia="仿宋_GB2312" w:cs="仿宋_GB2312" w:hint="eastAsia"/>
                <w:sz w:val="18"/>
                <w:szCs w:val="18"/>
              </w:rPr>
              <w:t>）：</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3.6</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w:t>
            </w:r>
            <w:r>
              <w:rPr>
                <w:rFonts w:eastAsia="仿宋_GB2312" w:cs="仿宋_GB2312" w:hint="eastAsia"/>
                <w:sz w:val="18"/>
                <w:szCs w:val="18"/>
              </w:rPr>
              <w:t>7</w:t>
            </w:r>
            <w:r w:rsidRPr="00464A22">
              <w:rPr>
                <w:rFonts w:eastAsia="仿宋_GB2312" w:cs="仿宋_GB2312" w:hint="eastAsia"/>
                <w:sz w:val="18"/>
                <w:szCs w:val="18"/>
              </w:rPr>
              <w:t>%</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w:t>
            </w:r>
            <w:proofErr w:type="gramStart"/>
            <w:r w:rsidRPr="00464A22">
              <w:rPr>
                <w:rFonts w:eastAsia="仿宋_GB2312" w:cs="仿宋_GB2312" w:hint="eastAsia"/>
                <w:sz w:val="18"/>
                <w:szCs w:val="18"/>
              </w:rPr>
              <w:t>预期年化收益率</w:t>
            </w:r>
            <w:proofErr w:type="gramEnd"/>
            <w:r w:rsidRPr="00464A22">
              <w:rPr>
                <w:rFonts w:eastAsia="仿宋_GB2312" w:cs="仿宋_GB2312" w:hint="eastAsia"/>
                <w:sz w:val="18"/>
                <w:szCs w:val="18"/>
              </w:rPr>
              <w:t>为</w:t>
            </w:r>
            <w:r w:rsidRPr="00464A22">
              <w:rPr>
                <w:rFonts w:eastAsia="仿宋_GB2312" w:cs="仿宋_GB2312" w:hint="eastAsia"/>
                <w:sz w:val="18"/>
                <w:szCs w:val="18"/>
              </w:rPr>
              <w:t>3.7</w:t>
            </w:r>
            <w:r>
              <w:rPr>
                <w:rFonts w:eastAsia="仿宋_GB2312" w:cs="仿宋_GB2312" w:hint="eastAsia"/>
                <w:sz w:val="18"/>
                <w:szCs w:val="18"/>
              </w:rPr>
              <w:t>5</w:t>
            </w:r>
            <w:r w:rsidRPr="00464A22">
              <w:rPr>
                <w:rFonts w:eastAsia="仿宋_GB2312" w:cs="仿宋_GB2312" w:hint="eastAsia"/>
                <w:sz w:val="18"/>
                <w:szCs w:val="18"/>
              </w:rPr>
              <w:t>%</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A032AD">
              <w:rPr>
                <w:rFonts w:eastAsia="仿宋_GB2312" w:cs="仿宋_GB2312" w:hint="eastAsia"/>
                <w:sz w:val="18"/>
                <w:szCs w:val="18"/>
              </w:rPr>
              <w:t>.55</w:t>
            </w:r>
            <w:r w:rsidR="00427D6C">
              <w:rPr>
                <w:rFonts w:eastAsia="仿宋_GB2312" w:cs="仿宋_GB2312"/>
                <w:sz w:val="18"/>
                <w:szCs w:val="18"/>
              </w:rPr>
              <w:t>%-</w:t>
            </w:r>
            <w:r w:rsidR="00A032AD">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B27938">
              <w:rPr>
                <w:rFonts w:eastAsia="仿宋_GB2312" w:cs="仿宋_GB2312" w:hint="eastAsia"/>
                <w:sz w:val="18"/>
                <w:szCs w:val="18"/>
              </w:rPr>
              <w:t>3</w:t>
            </w:r>
            <w:r w:rsidR="00A032AD">
              <w:rPr>
                <w:rFonts w:eastAsia="仿宋_GB2312" w:cs="仿宋_GB2312" w:hint="eastAsia"/>
                <w:sz w:val="18"/>
                <w:szCs w:val="18"/>
              </w:rPr>
              <w:t>.55</w:t>
            </w:r>
            <w:r w:rsidR="00427D6C">
              <w:rPr>
                <w:rFonts w:eastAsia="仿宋_GB2312" w:cs="仿宋_GB2312"/>
                <w:sz w:val="18"/>
                <w:szCs w:val="18"/>
              </w:rPr>
              <w:t>%-</w:t>
            </w:r>
            <w:r w:rsidR="00A032AD">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E64F2"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B01658">
        <w:rPr>
          <w:rFonts w:eastAsia="仿宋_GB2312" w:cs="仿宋_GB2312" w:hint="eastAsia"/>
          <w:sz w:val="18"/>
          <w:szCs w:val="18"/>
        </w:rPr>
        <w:t>28</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B01658">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A032AD">
        <w:rPr>
          <w:rFonts w:eastAsia="仿宋_GB2312" w:cs="仿宋_GB2312" w:hint="eastAsia"/>
          <w:sz w:val="18"/>
          <w:szCs w:val="18"/>
        </w:rPr>
        <w:t>.55</w:t>
      </w:r>
      <w:r w:rsidR="00427D6C">
        <w:rPr>
          <w:rFonts w:eastAsia="仿宋_GB2312" w:cs="仿宋_GB2312"/>
          <w:sz w:val="18"/>
          <w:szCs w:val="18"/>
        </w:rPr>
        <w:t>%-</w:t>
      </w:r>
      <w:r w:rsidR="00A032AD">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38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32AD"/>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38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339</cp:revision>
  <dcterms:created xsi:type="dcterms:W3CDTF">2015-03-24T06:29:00Z</dcterms:created>
  <dcterms:modified xsi:type="dcterms:W3CDTF">2020-05-26T03:02:00Z</dcterms:modified>
</cp:coreProperties>
</file>