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AA1BAA">
        <w:rPr>
          <w:rFonts w:eastAsia="黑体" w:cs="黑体" w:hint="eastAsia"/>
          <w:sz w:val="36"/>
          <w:szCs w:val="36"/>
        </w:rPr>
        <w:t>65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AA1BAA">
              <w:rPr>
                <w:rFonts w:eastAsia="仿宋_GB2312" w:cs="仿宋_GB2312" w:hint="eastAsia"/>
                <w:sz w:val="18"/>
                <w:szCs w:val="18"/>
              </w:rPr>
              <w:t>9065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8272DB">
              <w:rPr>
                <w:rFonts w:eastAsia="仿宋_GB2312" w:cs="仿宋_GB2312" w:hint="eastAsia"/>
                <w:sz w:val="18"/>
                <w:szCs w:val="18"/>
              </w:rPr>
              <w:t>065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8272DB" w:rsidP="006930F3">
            <w:pPr>
              <w:rPr>
                <w:rFonts w:eastAsia="仿宋_GB2312"/>
                <w:sz w:val="18"/>
                <w:szCs w:val="18"/>
              </w:rPr>
            </w:pPr>
            <w:r>
              <w:rPr>
                <w:rFonts w:eastAsia="仿宋_GB2312" w:cs="仿宋_GB2312"/>
                <w:sz w:val="18"/>
                <w:szCs w:val="18"/>
              </w:rPr>
              <w:t>4.05%</w:t>
            </w:r>
            <w:r>
              <w:rPr>
                <w:rFonts w:eastAsia="仿宋_GB2312" w:cs="仿宋_GB2312" w:hint="eastAsia"/>
                <w:sz w:val="18"/>
                <w:szCs w:val="18"/>
              </w:rPr>
              <w:t>至</w:t>
            </w:r>
            <w:r>
              <w:rPr>
                <w:rFonts w:eastAsia="仿宋_GB2312" w:cs="仿宋_GB2312"/>
                <w:sz w:val="18"/>
                <w:szCs w:val="18"/>
              </w:rPr>
              <w:t>4.25%,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4.15%</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4.2%</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8272DB">
              <w:rPr>
                <w:rFonts w:eastAsia="仿宋_GB2312" w:cs="仿宋_GB2312" w:hint="eastAsia"/>
                <w:sz w:val="18"/>
                <w:szCs w:val="18"/>
              </w:rPr>
              <w:t>4.05</w:t>
            </w:r>
            <w:r w:rsidR="00427D6C">
              <w:rPr>
                <w:rFonts w:eastAsia="仿宋_GB2312" w:cs="仿宋_GB2312"/>
                <w:sz w:val="18"/>
                <w:szCs w:val="18"/>
              </w:rPr>
              <w:t>%-</w:t>
            </w:r>
            <w:r w:rsidR="008272DB">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8272DB">
              <w:rPr>
                <w:rFonts w:eastAsia="仿宋_GB2312" w:cs="仿宋_GB2312" w:hint="eastAsia"/>
                <w:sz w:val="18"/>
                <w:szCs w:val="18"/>
              </w:rPr>
              <w:t>4.05</w:t>
            </w:r>
            <w:r w:rsidR="00427D6C">
              <w:rPr>
                <w:rFonts w:eastAsia="仿宋_GB2312" w:cs="仿宋_GB2312"/>
                <w:sz w:val="18"/>
                <w:szCs w:val="18"/>
              </w:rPr>
              <w:t>%-</w:t>
            </w:r>
            <w:r w:rsidR="008272DB">
              <w:rPr>
                <w:rFonts w:eastAsia="仿宋_GB2312" w:cs="仿宋_GB2312" w:hint="eastAsia"/>
                <w:sz w:val="18"/>
                <w:szCs w:val="18"/>
              </w:rPr>
              <w:t>4.2</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A1BAA" w:rsidP="004A5285">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AA1BAA">
        <w:rPr>
          <w:rFonts w:eastAsia="仿宋_GB2312" w:cs="仿宋_GB2312" w:hint="eastAsia"/>
          <w:sz w:val="18"/>
          <w:szCs w:val="18"/>
        </w:rPr>
        <w:t>22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881AC9">
        <w:rPr>
          <w:rFonts w:eastAsia="仿宋_GB2312" w:cs="仿宋_GB2312" w:hint="eastAsia"/>
          <w:sz w:val="18"/>
          <w:szCs w:val="18"/>
        </w:rPr>
        <w:t>8</w:t>
      </w:r>
      <w:r w:rsidRPr="00B94AC2">
        <w:rPr>
          <w:rFonts w:eastAsia="仿宋_GB2312" w:cs="仿宋_GB2312" w:hint="eastAsia"/>
          <w:sz w:val="18"/>
          <w:szCs w:val="18"/>
        </w:rPr>
        <w:t>月</w:t>
      </w:r>
      <w:r w:rsidR="00AA1BAA">
        <w:rPr>
          <w:rFonts w:eastAsia="仿宋_GB2312" w:cs="仿宋_GB2312" w:hint="eastAsia"/>
          <w:sz w:val="18"/>
          <w:szCs w:val="18"/>
        </w:rPr>
        <w:t>26</w:t>
      </w:r>
      <w:r w:rsidR="00DF7080">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w:t>
      </w:r>
      <w:bookmarkStart w:id="0" w:name="_GoBack"/>
      <w:bookmarkEnd w:id="0"/>
      <w:r w:rsidRPr="00B94AC2">
        <w:rPr>
          <w:rFonts w:eastAsia="仿宋_GB2312" w:cs="仿宋_GB2312" w:hint="eastAsia"/>
          <w:sz w:val="18"/>
          <w:szCs w:val="18"/>
        </w:rPr>
        <w:t>益率为</w:t>
      </w:r>
      <w:r w:rsidR="00B27938">
        <w:rPr>
          <w:rFonts w:eastAsia="仿宋_GB2312" w:cs="仿宋_GB2312" w:hint="eastAsia"/>
          <w:sz w:val="18"/>
          <w:szCs w:val="18"/>
        </w:rPr>
        <w:t>3</w:t>
      </w:r>
      <w:r w:rsidR="00427D6C">
        <w:rPr>
          <w:rFonts w:eastAsia="仿宋_GB2312" w:cs="仿宋_GB2312"/>
          <w:sz w:val="18"/>
          <w:szCs w:val="18"/>
        </w:rPr>
        <w:t>%-</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23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52BB9"/>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0392"/>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2DB"/>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2095"/>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DF708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23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234</cp:revision>
  <dcterms:created xsi:type="dcterms:W3CDTF">2015-03-24T06:29:00Z</dcterms:created>
  <dcterms:modified xsi:type="dcterms:W3CDTF">2019-08-15T07:03:00Z</dcterms:modified>
</cp:coreProperties>
</file>